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0931B" w14:textId="126490E6" w:rsidR="00DC7779" w:rsidRPr="00850456" w:rsidRDefault="00DC7779" w:rsidP="00DC7779">
      <w:pPr>
        <w:spacing w:line="276" w:lineRule="auto"/>
        <w:rPr>
          <w:rFonts w:ascii="Arial" w:hAnsi="Arial" w:cs="Arial"/>
          <w:b/>
          <w:bCs/>
        </w:rPr>
      </w:pPr>
      <w:r w:rsidRPr="00850456">
        <w:rPr>
          <w:rFonts w:ascii="Arial" w:hAnsi="Arial" w:cs="Arial"/>
          <w:b/>
          <w:bCs/>
        </w:rPr>
        <w:t>Pareiškėjo ir (arba) paramos gavėjo įsipareigojimai pagal SP priemonę „</w:t>
      </w:r>
      <w:r>
        <w:rPr>
          <w:rFonts w:ascii="Arial" w:hAnsi="Arial" w:cs="Arial"/>
          <w:b/>
          <w:bCs/>
        </w:rPr>
        <w:t>Tvarios investicijos į žemės ūkio valdas</w:t>
      </w:r>
      <w:r w:rsidRPr="00850456">
        <w:rPr>
          <w:rFonts w:ascii="Arial" w:hAnsi="Arial" w:cs="Arial"/>
          <w:b/>
          <w:bCs/>
        </w:rPr>
        <w:t>“:</w:t>
      </w:r>
    </w:p>
    <w:p w14:paraId="4E94A3F2" w14:textId="77777777" w:rsidR="00DC7779" w:rsidRDefault="00DC7779" w:rsidP="00DC7779">
      <w:pPr>
        <w:rPr>
          <w:sz w:val="20"/>
        </w:rPr>
      </w:pPr>
    </w:p>
    <w:p w14:paraId="37625ECB" w14:textId="23C47300" w:rsidR="00DC7779" w:rsidRDefault="00DC7779" w:rsidP="00DC7779">
      <w:pPr>
        <w:pStyle w:val="ListParagraph"/>
        <w:numPr>
          <w:ilvl w:val="0"/>
          <w:numId w:val="1"/>
        </w:numPr>
        <w:tabs>
          <w:tab w:val="left" w:pos="567"/>
          <w:tab w:val="left" w:pos="1134"/>
        </w:tabs>
        <w:spacing w:line="360" w:lineRule="auto"/>
        <w:jc w:val="both"/>
        <w:rPr>
          <w:rFonts w:eastAsia="Calibri"/>
          <w:color w:val="000000"/>
          <w:spacing w:val="2"/>
        </w:rPr>
      </w:pPr>
      <w:r w:rsidRPr="00DC7779">
        <w:rPr>
          <w:rFonts w:eastAsia="Calibri"/>
          <w:color w:val="000000"/>
          <w:spacing w:val="2"/>
        </w:rPr>
        <w:t xml:space="preserve">Teikdamas paramos paraišką pagal </w:t>
      </w:r>
      <w:hyperlink r:id="rId5" w:history="1">
        <w:r w:rsidRPr="006D660E">
          <w:rPr>
            <w:rStyle w:val="Hyperlink"/>
            <w:rFonts w:eastAsia="Calibri"/>
            <w:spacing w:val="2"/>
          </w:rPr>
          <w:t>Taisyklių</w:t>
        </w:r>
      </w:hyperlink>
      <w:r w:rsidRPr="00DC7779">
        <w:rPr>
          <w:rFonts w:eastAsia="Calibri"/>
          <w:color w:val="000000"/>
          <w:spacing w:val="2"/>
        </w:rPr>
        <w:t xml:space="preserve"> 11.1, 11.2 papunkčius (dotacijos forma) pareiškėjas (paramos gavėjas) prisiima ir nuo </w:t>
      </w:r>
      <w:r w:rsidRPr="00DC7779">
        <w:rPr>
          <w:bCs/>
        </w:rPr>
        <w:t>galutinio mokėjimo prašymo pateikimo</w:t>
      </w:r>
      <w:r w:rsidRPr="00DC7779">
        <w:rPr>
          <w:rFonts w:eastAsia="Calibri"/>
          <w:color w:val="000000"/>
          <w:spacing w:val="2"/>
        </w:rPr>
        <w:t xml:space="preserve"> iki kontrolės laikotarpio pabaigos laikosi šių įsipareigojimų:  </w:t>
      </w:r>
    </w:p>
    <w:p w14:paraId="53DB7074" w14:textId="7B99368F" w:rsidR="00DC7779" w:rsidRPr="00DC7779" w:rsidRDefault="00DC7779" w:rsidP="00DC7779">
      <w:pPr>
        <w:pStyle w:val="ListParagraph"/>
        <w:numPr>
          <w:ilvl w:val="0"/>
          <w:numId w:val="2"/>
        </w:numPr>
        <w:tabs>
          <w:tab w:val="left" w:pos="567"/>
          <w:tab w:val="left" w:pos="1134"/>
        </w:tabs>
        <w:spacing w:line="360" w:lineRule="auto"/>
        <w:jc w:val="both"/>
        <w:rPr>
          <w:rFonts w:eastAsia="Calibri"/>
          <w:color w:val="000000"/>
          <w:spacing w:val="2"/>
        </w:rPr>
      </w:pPr>
      <w:r w:rsidRPr="00DC7779">
        <w:rPr>
          <w:color w:val="000000"/>
          <w:spacing w:val="-4"/>
          <w:lang w:eastAsia="lt-LT"/>
        </w:rPr>
        <w:t xml:space="preserve">Administravimo </w:t>
      </w:r>
      <w:hyperlink r:id="rId6" w:history="1">
        <w:r w:rsidRPr="00F20A39">
          <w:rPr>
            <w:rStyle w:val="Hyperlink"/>
            <w:spacing w:val="-4"/>
            <w:lang w:eastAsia="lt-LT"/>
          </w:rPr>
          <w:t>taisyklių</w:t>
        </w:r>
      </w:hyperlink>
      <w:r w:rsidRPr="00DC7779">
        <w:rPr>
          <w:color w:val="000000"/>
          <w:spacing w:val="-4"/>
          <w:lang w:eastAsia="lt-LT"/>
        </w:rPr>
        <w:t xml:space="preserve"> 170.1–170.16 papunkčiuose nurodytų bendrųjų įsipareigojimų;</w:t>
      </w:r>
    </w:p>
    <w:p w14:paraId="247602C3" w14:textId="10A3321B" w:rsidR="00DC7779" w:rsidRPr="00DC7779" w:rsidRDefault="00DC7779" w:rsidP="00DC7779">
      <w:pPr>
        <w:pStyle w:val="ListParagraph"/>
        <w:numPr>
          <w:ilvl w:val="0"/>
          <w:numId w:val="2"/>
        </w:numPr>
        <w:tabs>
          <w:tab w:val="left" w:pos="567"/>
          <w:tab w:val="left" w:pos="1134"/>
        </w:tabs>
        <w:spacing w:line="360" w:lineRule="auto"/>
        <w:jc w:val="both"/>
        <w:rPr>
          <w:rFonts w:eastAsia="Calibri"/>
          <w:color w:val="000000"/>
          <w:spacing w:val="2"/>
        </w:rPr>
      </w:pPr>
      <w:r w:rsidRPr="00DC7779">
        <w:rPr>
          <w:spacing w:val="4"/>
        </w:rPr>
        <w:t>užtikrina, kad pripažinto žemės ūkio kooperatyvo statusas bus nepertraukiamai išlaikytas nuo paramos paraiškos pateikimo dienos iki projekto kontrolės laikotarpio pabaigos (taikoma, kai pareiškėjas – pripažintas žemės ūkio kooperatyvas);</w:t>
      </w:r>
    </w:p>
    <w:p w14:paraId="5E54A68A" w14:textId="62C56F08" w:rsidR="00DC7779" w:rsidRPr="00DC7779" w:rsidRDefault="00DC7779" w:rsidP="00DC7779">
      <w:pPr>
        <w:pStyle w:val="ListParagraph"/>
        <w:numPr>
          <w:ilvl w:val="0"/>
          <w:numId w:val="2"/>
        </w:numPr>
        <w:tabs>
          <w:tab w:val="left" w:pos="567"/>
          <w:tab w:val="left" w:pos="1134"/>
        </w:tabs>
        <w:spacing w:line="360" w:lineRule="auto"/>
        <w:jc w:val="both"/>
        <w:rPr>
          <w:rFonts w:eastAsia="Calibri"/>
          <w:color w:val="000000"/>
          <w:spacing w:val="2"/>
        </w:rPr>
      </w:pPr>
      <w:r w:rsidRPr="00DC7779">
        <w:rPr>
          <w:lang w:eastAsia="lt-LT"/>
        </w:rPr>
        <w:t>pareiškėjas (paramos gavėjas)</w:t>
      </w:r>
      <w:r w:rsidRPr="00DC7779">
        <w:rPr>
          <w:rFonts w:eastAsia="Calibri"/>
          <w:color w:val="000000"/>
          <w:spacing w:val="2"/>
        </w:rPr>
        <w:t xml:space="preserve"> </w:t>
      </w:r>
      <w:r w:rsidRPr="00DC7779">
        <w:rPr>
          <w:lang w:eastAsia="lt-LT"/>
        </w:rPr>
        <w:t xml:space="preserve">kreipdamasis paramos papildomai veiklai, nurodytai </w:t>
      </w:r>
      <w:hyperlink r:id="rId7" w:history="1">
        <w:r w:rsidRPr="006D660E">
          <w:rPr>
            <w:rStyle w:val="Hyperlink"/>
            <w:lang w:eastAsia="lt-LT"/>
          </w:rPr>
          <w:t>Taisyklių</w:t>
        </w:r>
      </w:hyperlink>
      <w:r w:rsidRPr="00DC7779">
        <w:rPr>
          <w:lang w:eastAsia="lt-LT"/>
        </w:rPr>
        <w:t xml:space="preserve"> </w:t>
      </w:r>
      <w:r w:rsidRPr="00DC7779">
        <w:rPr>
          <w:color w:val="000000"/>
          <w:spacing w:val="-4"/>
          <w:lang w:eastAsia="lt-LT"/>
        </w:rPr>
        <w:t xml:space="preserve">12.3  </w:t>
      </w:r>
      <w:r w:rsidRPr="00DC7779">
        <w:rPr>
          <w:rFonts w:eastAsia="Calibri"/>
          <w:color w:val="000000"/>
          <w:spacing w:val="2"/>
        </w:rPr>
        <w:t>papunktyje, taip pat įsipareigoja:</w:t>
      </w:r>
    </w:p>
    <w:p w14:paraId="7085E2B5" w14:textId="03736652"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color w:val="000000"/>
          <w:lang w:eastAsia="lt-LT"/>
        </w:rPr>
        <w:t>ūkinių gyvūnų bandoje (pulke), kurioje (-</w:t>
      </w:r>
      <w:proofErr w:type="spellStart"/>
      <w:r w:rsidRPr="006D660E">
        <w:rPr>
          <w:color w:val="000000"/>
          <w:lang w:eastAsia="lt-LT"/>
        </w:rPr>
        <w:t>iame</w:t>
      </w:r>
      <w:proofErr w:type="spellEnd"/>
      <w:r w:rsidRPr="006D660E">
        <w:rPr>
          <w:color w:val="000000"/>
          <w:lang w:eastAsia="lt-LT"/>
        </w:rPr>
        <w:t>) pereinama prie aukštesnių nei pareiškėjui privalomi ūkinių gyvūnų gerovės reikalavimų, išlaikyti vidutinį metinį sutartiniais gyvuliais</w:t>
      </w:r>
      <w:r w:rsidRPr="006D660E">
        <w:rPr>
          <w:b/>
          <w:bCs/>
          <w:color w:val="000000"/>
          <w:lang w:eastAsia="lt-LT"/>
        </w:rPr>
        <w:t> </w:t>
      </w:r>
      <w:r w:rsidRPr="006D660E">
        <w:rPr>
          <w:color w:val="000000"/>
          <w:lang w:eastAsia="lt-LT"/>
        </w:rPr>
        <w:t xml:space="preserve">išreikštą ūkinių gyvūnų skaičių (toliau – SG), ne mažesnį, nei 90 proc. paramos paraiškoje nurodytas SG. </w:t>
      </w:r>
      <w:r w:rsidRPr="006D660E">
        <w:rPr>
          <w:lang w:eastAsia="lt-LT"/>
        </w:rPr>
        <w:t>Jei pareiškėjas numato didinti ūkinių gyvūnų skaičių, paramos paraiškoje SG turi būti numatytas kaip projekto priežiūros rodiklis</w:t>
      </w:r>
      <w:r w:rsidRPr="006D660E">
        <w:rPr>
          <w:rFonts w:eastAsia="Calibri"/>
          <w:color w:val="000000"/>
          <w:spacing w:val="2"/>
        </w:rPr>
        <w:t>. Vidutinis metinis sutartiniais gyvuliais išreikštas ūkinių gyvūnų skaičius (SG) apskaičiuojamas pagal aritmetinį ūkinių gyvūnų vidurkį (praeitų metų laikotarpio nuo sausio 1 d. iki gruodžio 31 d. kiekvieno mėnesio paskutinės dienos ūkinių gyvūnų skaičių, registruotą Ūkinių gyvūnų registre, padauginant iš verčių, nurodytų Paramos už žemės ūkio naudmenas ir kitus plotus bei ūkinius gyvūnus paraiškos ir tiesioginių išmokų administravimo bei kontrolės taisyklių, patvirtintų Lietuvos Respublikos žemės ūkio ministro 2023 m. vasario 20 d. įsakymu Nr. 3D-92 „Dėl Paramos už žemės ūkio naudmenas ir kitus plotus bei ūkinius gyvūnus paraiškos ir tiesioginių išmokų administravimo bei kontrolės taisyklių patvirtinimo“, 3 priede);</w:t>
      </w:r>
      <w:r>
        <w:t xml:space="preserve"> </w:t>
      </w:r>
    </w:p>
    <w:p w14:paraId="511E32B6" w14:textId="198E73A2"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rFonts w:eastAsia="Calibri"/>
          <w:color w:val="000000"/>
          <w:spacing w:val="2"/>
        </w:rPr>
        <w:t xml:space="preserve">veršelius (iki 8 savaičių amžiaus) laikyti prie jų motinų (taikoma, kai atliekamos investicijos, nurodytos </w:t>
      </w:r>
      <w:hyperlink r:id="rId8" w:history="1">
        <w:r w:rsidRPr="006D660E">
          <w:rPr>
            <w:rStyle w:val="Hyperlink"/>
            <w:rFonts w:eastAsia="Calibri"/>
            <w:spacing w:val="2"/>
          </w:rPr>
          <w:t>Taisyklių</w:t>
        </w:r>
      </w:hyperlink>
      <w:r w:rsidRPr="006D660E">
        <w:rPr>
          <w:rFonts w:eastAsia="Calibri"/>
          <w:color w:val="000000"/>
          <w:spacing w:val="2"/>
        </w:rPr>
        <w:t xml:space="preserve"> 30.4.2.1 papunktyje);</w:t>
      </w:r>
    </w:p>
    <w:p w14:paraId="0E8C569F" w14:textId="55D737B2"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rFonts w:eastAsia="Calibri"/>
          <w:color w:val="000000"/>
          <w:spacing w:val="2"/>
        </w:rPr>
        <w:lastRenderedPageBreak/>
        <w:t xml:space="preserve">galvijus išleisti ganytis į atvirą erdvę / diendaržius ne mažiau kaip 120 dienų per metus (taikoma, kai atliekamos investicijos, nurodytos </w:t>
      </w:r>
      <w:hyperlink r:id="rId9" w:history="1">
        <w:r w:rsidRPr="006D660E">
          <w:rPr>
            <w:rStyle w:val="Hyperlink"/>
            <w:rFonts w:eastAsia="Calibri"/>
            <w:spacing w:val="2"/>
          </w:rPr>
          <w:t>Taisyklių</w:t>
        </w:r>
      </w:hyperlink>
      <w:r w:rsidRPr="006D660E">
        <w:rPr>
          <w:rFonts w:eastAsia="Calibri"/>
          <w:color w:val="000000"/>
          <w:spacing w:val="2"/>
        </w:rPr>
        <w:t xml:space="preserve"> 30.4.2.2 papunktyje);</w:t>
      </w:r>
    </w:p>
    <w:p w14:paraId="38E3D7D2" w14:textId="525AA35B"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t xml:space="preserve">galvijus laikyti </w:t>
      </w:r>
      <w:proofErr w:type="spellStart"/>
      <w:r w:rsidRPr="006D660E">
        <w:t>besaičiu</w:t>
      </w:r>
      <w:proofErr w:type="spellEnd"/>
      <w:r w:rsidRPr="006D660E">
        <w:t xml:space="preserve"> būdu </w:t>
      </w:r>
      <w:r w:rsidRPr="006D660E">
        <w:rPr>
          <w:rFonts w:eastAsia="Calibri"/>
          <w:color w:val="000000"/>
          <w:spacing w:val="2"/>
        </w:rPr>
        <w:t xml:space="preserve">(taikoma, kai atliekamos investicijos, nurodytos </w:t>
      </w:r>
      <w:hyperlink r:id="rId10" w:history="1">
        <w:r w:rsidRPr="006D660E">
          <w:rPr>
            <w:rStyle w:val="Hyperlink"/>
            <w:rFonts w:eastAsia="Calibri"/>
            <w:spacing w:val="2"/>
          </w:rPr>
          <w:t>Taisyklių</w:t>
        </w:r>
      </w:hyperlink>
      <w:r w:rsidRPr="006D660E">
        <w:rPr>
          <w:rFonts w:eastAsia="Calibri"/>
          <w:color w:val="000000"/>
          <w:spacing w:val="2"/>
        </w:rPr>
        <w:t xml:space="preserve"> 30.4.2.3 papunktyje);</w:t>
      </w:r>
      <w:r w:rsidRPr="006D660E">
        <w:t xml:space="preserve"> </w:t>
      </w:r>
    </w:p>
    <w:p w14:paraId="17DB66C3" w14:textId="3A960DD5"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rFonts w:eastAsia="Calibri"/>
          <w:color w:val="000000"/>
          <w:spacing w:val="2"/>
        </w:rPr>
        <w:t xml:space="preserve">laikyti nujunkytus paršelius ir (ar)  auginamas kiaules ir (ar) sukergtas kiaulaites ir (ar) paršavedes ir (ar) kuilius  bent 20 proc. didesniame plote nei atitinkamai kiaulių grupei skiriamas minimalus plotas, numatytas Kiaulių gerovės reikalavimų 8, 9 ir (ar) 10 punktuose, užtikrinant </w:t>
      </w:r>
      <w:r w:rsidRPr="006D660E">
        <w:t xml:space="preserve">priėjimą prie natūralių užimtumo medžiagų, skirtų smalsumo ir tyrinėjimo poreikiams patenkinti </w:t>
      </w:r>
      <w:r w:rsidRPr="006D660E">
        <w:rPr>
          <w:rFonts w:eastAsia="Calibri"/>
          <w:color w:val="000000"/>
          <w:spacing w:val="2"/>
        </w:rPr>
        <w:t xml:space="preserve">(taikoma, kai atliekamos investicijos, nurodytos </w:t>
      </w:r>
      <w:hyperlink r:id="rId11" w:history="1">
        <w:r w:rsidRPr="006D660E">
          <w:rPr>
            <w:rStyle w:val="Hyperlink"/>
            <w:rFonts w:eastAsia="Calibri"/>
            <w:spacing w:val="2"/>
          </w:rPr>
          <w:t>Taisyklių</w:t>
        </w:r>
      </w:hyperlink>
      <w:r w:rsidRPr="006D660E">
        <w:rPr>
          <w:rFonts w:eastAsia="Calibri"/>
          <w:color w:val="000000"/>
          <w:spacing w:val="2"/>
        </w:rPr>
        <w:t xml:space="preserve"> 30.4.3.1–30.4.3.3 papunkčiuose);</w:t>
      </w:r>
    </w:p>
    <w:p w14:paraId="15227551" w14:textId="5C8B1D26" w:rsidR="006D660E"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rFonts w:eastAsia="Calibri"/>
          <w:color w:val="000000"/>
          <w:spacing w:val="2"/>
        </w:rPr>
        <w:t xml:space="preserve">laikyti vištas dedekles ir </w:t>
      </w:r>
      <w:proofErr w:type="spellStart"/>
      <w:r w:rsidRPr="006D660E">
        <w:rPr>
          <w:rFonts w:eastAsia="Calibri"/>
          <w:color w:val="000000"/>
          <w:spacing w:val="2"/>
        </w:rPr>
        <w:t>dedeklines</w:t>
      </w:r>
      <w:proofErr w:type="spellEnd"/>
      <w:r w:rsidRPr="006D660E">
        <w:rPr>
          <w:rFonts w:eastAsia="Calibri"/>
          <w:color w:val="000000"/>
          <w:spacing w:val="2"/>
        </w:rPr>
        <w:t xml:space="preserve"> </w:t>
      </w:r>
      <w:proofErr w:type="spellStart"/>
      <w:r w:rsidRPr="006D660E">
        <w:rPr>
          <w:rFonts w:eastAsia="Calibri"/>
          <w:color w:val="000000"/>
          <w:spacing w:val="2"/>
        </w:rPr>
        <w:t>vištaites</w:t>
      </w:r>
      <w:proofErr w:type="spellEnd"/>
      <w:r w:rsidRPr="006D660E">
        <w:rPr>
          <w:rFonts w:eastAsia="Calibri"/>
          <w:color w:val="000000"/>
          <w:spacing w:val="2"/>
        </w:rPr>
        <w:t xml:space="preserve"> laisvai arba ant kraiko (taikoma, kai atliekamos investicijos, nurodytos </w:t>
      </w:r>
      <w:hyperlink r:id="rId12" w:history="1">
        <w:r w:rsidRPr="006D660E">
          <w:rPr>
            <w:rStyle w:val="Hyperlink"/>
            <w:rFonts w:eastAsia="Calibri"/>
            <w:spacing w:val="2"/>
          </w:rPr>
          <w:t>Taisyklių</w:t>
        </w:r>
      </w:hyperlink>
      <w:r w:rsidRPr="006D660E">
        <w:rPr>
          <w:rFonts w:eastAsia="Calibri"/>
          <w:color w:val="000000"/>
          <w:spacing w:val="2"/>
        </w:rPr>
        <w:t xml:space="preserve"> 30.4.4.1);</w:t>
      </w:r>
    </w:p>
    <w:p w14:paraId="03EC7015" w14:textId="68633133"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rPr>
          <w:rFonts w:eastAsia="Calibri"/>
          <w:color w:val="000000"/>
          <w:spacing w:val="2"/>
        </w:rPr>
        <w:t xml:space="preserve">laikyti vištas dedekles bent 20 proc. mažesniu tankumu nei numatyta </w:t>
      </w:r>
      <w:r w:rsidRPr="006D660E">
        <w:t>Vištų dedeklių gerovės reikalavimų 17 punkte</w:t>
      </w:r>
      <w:r w:rsidRPr="006D660E">
        <w:rPr>
          <w:rFonts w:eastAsia="Calibri"/>
          <w:color w:val="000000"/>
          <w:spacing w:val="2"/>
        </w:rPr>
        <w:t xml:space="preserve"> (taikoma, kai atliekamos investicijos, nurodytos </w:t>
      </w:r>
      <w:hyperlink r:id="rId13" w:history="1">
        <w:r w:rsidRPr="006D660E">
          <w:rPr>
            <w:rStyle w:val="Hyperlink"/>
            <w:rFonts w:eastAsia="Calibri"/>
            <w:spacing w:val="2"/>
          </w:rPr>
          <w:t>Taisyklių</w:t>
        </w:r>
      </w:hyperlink>
      <w:r w:rsidRPr="006D660E">
        <w:rPr>
          <w:rFonts w:eastAsia="Calibri"/>
          <w:color w:val="000000"/>
          <w:spacing w:val="2"/>
        </w:rPr>
        <w:t xml:space="preserve"> 30.4.4.2 papunktyje); </w:t>
      </w:r>
    </w:p>
    <w:p w14:paraId="20948403" w14:textId="0145CE6D" w:rsidR="00DC7779" w:rsidRPr="006D660E" w:rsidRDefault="00DC7779" w:rsidP="006D660E">
      <w:pPr>
        <w:pStyle w:val="ListParagraph"/>
        <w:numPr>
          <w:ilvl w:val="0"/>
          <w:numId w:val="3"/>
        </w:numPr>
        <w:overflowPunct w:val="0"/>
        <w:spacing w:line="360" w:lineRule="auto"/>
        <w:jc w:val="both"/>
        <w:textAlignment w:val="baseline"/>
        <w:rPr>
          <w:color w:val="000000"/>
          <w:spacing w:val="-4"/>
          <w:lang w:eastAsia="lt-LT"/>
        </w:rPr>
      </w:pPr>
      <w:r w:rsidRPr="006D660E">
        <w:t xml:space="preserve">užauginti broilerius be antibiotikų, išskyrus atvejus, kai jų naudojimas būtinas ligų protrūkių ar </w:t>
      </w:r>
      <w:proofErr w:type="spellStart"/>
      <w:r w:rsidRPr="006D660E">
        <w:t>epizootijų</w:t>
      </w:r>
      <w:proofErr w:type="spellEnd"/>
      <w:r w:rsidRPr="006D660E">
        <w:t xml:space="preserve"> atvejais ir juos skiria veterinarijos gydytojas įvertinęs riziką dėl ligų išplitimo </w:t>
      </w:r>
      <w:r w:rsidRPr="006D660E">
        <w:rPr>
          <w:rFonts w:eastAsia="Calibri"/>
          <w:color w:val="000000"/>
          <w:spacing w:val="2"/>
        </w:rPr>
        <w:t xml:space="preserve">(taikoma, kai atliekamos investicijos, nurodytos </w:t>
      </w:r>
      <w:hyperlink r:id="rId14" w:history="1">
        <w:r w:rsidRPr="006D660E">
          <w:rPr>
            <w:rStyle w:val="Hyperlink"/>
            <w:rFonts w:eastAsia="Calibri"/>
            <w:spacing w:val="2"/>
          </w:rPr>
          <w:t>Taisyklių</w:t>
        </w:r>
      </w:hyperlink>
      <w:r w:rsidRPr="006D660E">
        <w:rPr>
          <w:rFonts w:eastAsia="Calibri"/>
          <w:color w:val="000000"/>
          <w:spacing w:val="2"/>
        </w:rPr>
        <w:t xml:space="preserve"> 30.4.4.3 papunktyje). Tikrinama ne anksčiau, negu Pareiškėjas užbaigia vieną broilerių auginimo ciklą;</w:t>
      </w:r>
    </w:p>
    <w:p w14:paraId="72EBC584" w14:textId="2464AEBC" w:rsidR="00DC7779" w:rsidRPr="006D660E" w:rsidRDefault="00DC7779" w:rsidP="00DC7779">
      <w:pPr>
        <w:pStyle w:val="ListParagraph"/>
        <w:numPr>
          <w:ilvl w:val="0"/>
          <w:numId w:val="3"/>
        </w:numPr>
        <w:overflowPunct w:val="0"/>
        <w:spacing w:line="360" w:lineRule="auto"/>
        <w:jc w:val="both"/>
        <w:textAlignment w:val="baseline"/>
        <w:rPr>
          <w:color w:val="000000"/>
          <w:spacing w:val="-4"/>
          <w:lang w:eastAsia="lt-LT"/>
        </w:rPr>
      </w:pPr>
      <w:r>
        <w:t xml:space="preserve">paršavedes vieniniuose </w:t>
      </w:r>
      <w:r w:rsidRPr="006D660E">
        <w:rPr>
          <w:color w:val="000000"/>
        </w:rPr>
        <w:t>paršiavimosi garduose laikyti nefiksuotas, išskyrus atvejus, kai fiksavimas yra būtinas paršavedės arba paršelių gerovei užtikrinti ir kai jį atliekant laikomasi Kiaulių gerovės reikalavimų nuostatų (</w:t>
      </w:r>
      <w:r w:rsidRPr="006D660E">
        <w:rPr>
          <w:rFonts w:eastAsia="Calibri"/>
          <w:color w:val="000000"/>
        </w:rPr>
        <w:t xml:space="preserve">taikoma, kai atliekamos investicijos, nurodytos </w:t>
      </w:r>
      <w:hyperlink r:id="rId15" w:history="1">
        <w:r w:rsidRPr="00C14EA2">
          <w:rPr>
            <w:rStyle w:val="Hyperlink"/>
            <w:rFonts w:eastAsia="Calibri"/>
          </w:rPr>
          <w:t>Taisyklių</w:t>
        </w:r>
      </w:hyperlink>
      <w:r w:rsidRPr="006D660E">
        <w:rPr>
          <w:rFonts w:eastAsia="Calibri"/>
          <w:color w:val="000000"/>
        </w:rPr>
        <w:t xml:space="preserve"> 30.4.3.4 papunktyje)</w:t>
      </w:r>
      <w:r w:rsidRPr="006D660E">
        <w:rPr>
          <w:color w:val="000000"/>
        </w:rPr>
        <w:t>.</w:t>
      </w:r>
      <w:r>
        <w:t xml:space="preserve"> </w:t>
      </w:r>
    </w:p>
    <w:p w14:paraId="7B750EE3" w14:textId="1D326484" w:rsidR="00DC7779" w:rsidRPr="00276F9D" w:rsidRDefault="006D660E" w:rsidP="00276F9D">
      <w:pPr>
        <w:pStyle w:val="ListParagraph"/>
        <w:numPr>
          <w:ilvl w:val="0"/>
          <w:numId w:val="1"/>
        </w:numPr>
        <w:tabs>
          <w:tab w:val="left" w:pos="567"/>
          <w:tab w:val="left" w:pos="1276"/>
          <w:tab w:val="left" w:pos="1560"/>
        </w:tabs>
        <w:spacing w:line="360" w:lineRule="auto"/>
        <w:jc w:val="both"/>
        <w:rPr>
          <w:rFonts w:eastAsia="Calibri"/>
          <w:color w:val="000000"/>
          <w:spacing w:val="2"/>
        </w:rPr>
      </w:pPr>
      <w:r>
        <w:rPr>
          <w:color w:val="000000"/>
          <w:lang w:eastAsia="lt-LT"/>
        </w:rPr>
        <w:t xml:space="preserve">  </w:t>
      </w:r>
      <w:r w:rsidR="00DC7779" w:rsidRPr="006D660E">
        <w:rPr>
          <w:color w:val="000000"/>
          <w:lang w:eastAsia="lt-LT"/>
        </w:rPr>
        <w:t>Įgyvendinto projekto vertinimą ir dokumentų, patvirtinančių įgyvendinto projekto atitiktį / neatitiktį </w:t>
      </w:r>
      <w:hyperlink r:id="rId16" w:history="1">
        <w:r w:rsidR="00DC7779" w:rsidRPr="00C14EA2">
          <w:rPr>
            <w:rStyle w:val="Hyperlink"/>
            <w:lang w:eastAsia="lt-LT"/>
          </w:rPr>
          <w:t>Taisyklių</w:t>
        </w:r>
      </w:hyperlink>
      <w:r w:rsidR="00DC7779" w:rsidRPr="006D660E">
        <w:rPr>
          <w:color w:val="000000"/>
          <w:lang w:eastAsia="lt-LT"/>
        </w:rPr>
        <w:t xml:space="preserve"> 19.3.2–19.3.9 papunkčių nuostatoms, išduoda Valstybinė maisto ir veterinarijos tarnyba Agentūros prašymu.</w:t>
      </w:r>
      <w:r w:rsidR="00DC7779">
        <w:t xml:space="preserve"> </w:t>
      </w:r>
    </w:p>
    <w:p w14:paraId="47B7231D" w14:textId="77777777" w:rsidR="001B5333" w:rsidRDefault="001B5333"/>
    <w:sectPr w:rsidR="001B53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863E5"/>
    <w:multiLevelType w:val="hybridMultilevel"/>
    <w:tmpl w:val="CF3236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FA85576"/>
    <w:multiLevelType w:val="hybridMultilevel"/>
    <w:tmpl w:val="9496AA68"/>
    <w:lvl w:ilvl="0" w:tplc="9ABA47F6">
      <w:start w:val="1"/>
      <w:numFmt w:val="bullet"/>
      <w:lvlText w:val=""/>
      <w:lvlJc w:val="left"/>
      <w:pPr>
        <w:ind w:left="180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7B68265E"/>
    <w:multiLevelType w:val="hybridMultilevel"/>
    <w:tmpl w:val="2DAC728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725877175">
    <w:abstractNumId w:val="0"/>
  </w:num>
  <w:num w:numId="2" w16cid:durableId="1549684156">
    <w:abstractNumId w:val="2"/>
  </w:num>
  <w:num w:numId="3" w16cid:durableId="274487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79"/>
    <w:rsid w:val="001B5333"/>
    <w:rsid w:val="00276F9D"/>
    <w:rsid w:val="006D660E"/>
    <w:rsid w:val="007107E7"/>
    <w:rsid w:val="00853658"/>
    <w:rsid w:val="00990C9F"/>
    <w:rsid w:val="00C14EA2"/>
    <w:rsid w:val="00DC7779"/>
    <w:rsid w:val="00E00F1E"/>
    <w:rsid w:val="00F20A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7D85"/>
  <w15:chartTrackingRefBased/>
  <w15:docId w15:val="{BC34F7BD-82C0-4958-886E-AF1568E5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779"/>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DC777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C777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C777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C777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DC777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DC777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DC777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DC777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DC777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779"/>
    <w:rPr>
      <w:rFonts w:eastAsiaTheme="majorEastAsia" w:cstheme="majorBidi"/>
      <w:color w:val="272727" w:themeColor="text1" w:themeTint="D8"/>
    </w:rPr>
  </w:style>
  <w:style w:type="paragraph" w:styleId="Title">
    <w:name w:val="Title"/>
    <w:basedOn w:val="Normal"/>
    <w:next w:val="Normal"/>
    <w:link w:val="TitleChar"/>
    <w:uiPriority w:val="10"/>
    <w:qFormat/>
    <w:rsid w:val="00DC777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C7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77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C7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77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DC7779"/>
    <w:rPr>
      <w:i/>
      <w:iCs/>
      <w:color w:val="404040" w:themeColor="text1" w:themeTint="BF"/>
    </w:rPr>
  </w:style>
  <w:style w:type="paragraph" w:styleId="ListParagraph">
    <w:name w:val="List Paragraph"/>
    <w:basedOn w:val="Normal"/>
    <w:uiPriority w:val="34"/>
    <w:qFormat/>
    <w:rsid w:val="00DC777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DC7779"/>
    <w:rPr>
      <w:i/>
      <w:iCs/>
      <w:color w:val="0F4761" w:themeColor="accent1" w:themeShade="BF"/>
    </w:rPr>
  </w:style>
  <w:style w:type="paragraph" w:styleId="IntenseQuote">
    <w:name w:val="Intense Quote"/>
    <w:basedOn w:val="Normal"/>
    <w:next w:val="Normal"/>
    <w:link w:val="IntenseQuoteChar"/>
    <w:uiPriority w:val="30"/>
    <w:qFormat/>
    <w:rsid w:val="00DC777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DC7779"/>
    <w:rPr>
      <w:i/>
      <w:iCs/>
      <w:color w:val="0F4761" w:themeColor="accent1" w:themeShade="BF"/>
    </w:rPr>
  </w:style>
  <w:style w:type="character" w:styleId="IntenseReference">
    <w:name w:val="Intense Reference"/>
    <w:basedOn w:val="DefaultParagraphFont"/>
    <w:uiPriority w:val="32"/>
    <w:qFormat/>
    <w:rsid w:val="00DC7779"/>
    <w:rPr>
      <w:b/>
      <w:bCs/>
      <w:smallCaps/>
      <w:color w:val="0F4761" w:themeColor="accent1" w:themeShade="BF"/>
      <w:spacing w:val="5"/>
    </w:rPr>
  </w:style>
  <w:style w:type="character" w:styleId="Hyperlink">
    <w:name w:val="Hyperlink"/>
    <w:basedOn w:val="DefaultParagraphFont"/>
    <w:uiPriority w:val="99"/>
    <w:unhideWhenUsed/>
    <w:rsid w:val="006D660E"/>
    <w:rPr>
      <w:color w:val="467886" w:themeColor="hyperlink"/>
      <w:u w:val="single"/>
    </w:rPr>
  </w:style>
  <w:style w:type="character" w:styleId="UnresolvedMention">
    <w:name w:val="Unresolved Mention"/>
    <w:basedOn w:val="DefaultParagraphFont"/>
    <w:uiPriority w:val="99"/>
    <w:semiHidden/>
    <w:unhideWhenUsed/>
    <w:rsid w:val="006D6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12685a014af11ee9f7ec2ffce8b47bc/asr" TargetMode="External"/><Relationship Id="rId13" Type="http://schemas.openxmlformats.org/officeDocument/2006/relationships/hyperlink" Target="https://www.e-tar.lt/portal/lt/legalAct/412685a014af11ee9f7ec2ffce8b47bc/as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412685a014af11ee9f7ec2ffce8b47bc/asr" TargetMode="External"/><Relationship Id="rId12" Type="http://schemas.openxmlformats.org/officeDocument/2006/relationships/hyperlink" Target="https://www.e-tar.lt/portal/lt/legalAct/412685a014af11ee9f7ec2ffce8b47bc/as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t/legalAct/412685a014af11ee9f7ec2ffce8b47bc/asr" TargetMode="External"/><Relationship Id="rId1" Type="http://schemas.openxmlformats.org/officeDocument/2006/relationships/numbering" Target="numbering.xml"/><Relationship Id="rId6" Type="http://schemas.openxmlformats.org/officeDocument/2006/relationships/hyperlink" Target="https://www.e-tar.lt/portal/lt/legalAct/6fcc06d0b40d11ed8df094f359a60216/asr" TargetMode="External"/><Relationship Id="rId11" Type="http://schemas.openxmlformats.org/officeDocument/2006/relationships/hyperlink" Target="https://www.e-tar.lt/portal/lt/legalAct/412685a014af11ee9f7ec2ffce8b47bc/asr" TargetMode="External"/><Relationship Id="rId5" Type="http://schemas.openxmlformats.org/officeDocument/2006/relationships/hyperlink" Target="https://www.e-tar.lt/portal/lt/legalAct/412685a014af11ee9f7ec2ffce8b47bc/asr" TargetMode="External"/><Relationship Id="rId15" Type="http://schemas.openxmlformats.org/officeDocument/2006/relationships/hyperlink" Target="https://www.e-tar.lt/portal/lt/legalAct/412685a014af11ee9f7ec2ffce8b47bc/asr" TargetMode="External"/><Relationship Id="rId10" Type="http://schemas.openxmlformats.org/officeDocument/2006/relationships/hyperlink" Target="https://www.e-tar.lt/portal/lt/legalAct/412685a014af11ee9f7ec2ffce8b47bc/asr" TargetMode="External"/><Relationship Id="rId4" Type="http://schemas.openxmlformats.org/officeDocument/2006/relationships/webSettings" Target="webSettings.xml"/><Relationship Id="rId9" Type="http://schemas.openxmlformats.org/officeDocument/2006/relationships/hyperlink" Target="https://www.e-tar.lt/portal/lt/legalAct/412685a014af11ee9f7ec2ffce8b47bc/asr" TargetMode="External"/><Relationship Id="rId14" Type="http://schemas.openxmlformats.org/officeDocument/2006/relationships/hyperlink" Target="https://www.e-tar.lt/portal/lt/legalAct/412685a014af11ee9f7ec2ffce8b47bc/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3292</Words>
  <Characters>1877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2</cp:revision>
  <dcterms:created xsi:type="dcterms:W3CDTF">2026-08-10T04:19:00Z</dcterms:created>
  <dcterms:modified xsi:type="dcterms:W3CDTF">2026-08-10T11:34:00Z</dcterms:modified>
</cp:coreProperties>
</file>