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8F5F" w14:textId="788D039A" w:rsidR="00B90F14" w:rsidRDefault="004157A7">
      <w:pPr>
        <w:rPr>
          <w:rFonts w:ascii="Aptos Light" w:hAnsi="Aptos Light" w:cs="Arial"/>
          <w:b/>
          <w:bCs/>
          <w:i/>
          <w:iCs/>
        </w:rPr>
      </w:pPr>
      <w:r w:rsidRPr="00BC41DA">
        <w:rPr>
          <w:i/>
          <w:iCs/>
          <w:noProof/>
        </w:rPr>
        <mc:AlternateContent>
          <mc:Choice Requires="wps">
            <w:drawing>
              <wp:anchor distT="0" distB="0" distL="114300" distR="114300" simplePos="0" relativeHeight="251662336" behindDoc="0" locked="0" layoutInCell="1" allowOverlap="1" wp14:anchorId="1213D432" wp14:editId="54D02035">
                <wp:simplePos x="0" y="0"/>
                <wp:positionH relativeFrom="margin">
                  <wp:align>left</wp:align>
                </wp:positionH>
                <wp:positionV relativeFrom="paragraph">
                  <wp:posOffset>14941</wp:posOffset>
                </wp:positionV>
                <wp:extent cx="3371850" cy="266700"/>
                <wp:effectExtent l="0" t="0" r="0" b="0"/>
                <wp:wrapNone/>
                <wp:docPr id="521337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66700"/>
                        </a:xfrm>
                        <a:prstGeom prst="rect">
                          <a:avLst/>
                        </a:prstGeom>
                        <a:noFill/>
                        <a:ln w="9525">
                          <a:noFill/>
                          <a:miter lim="800000"/>
                          <a:headEnd/>
                          <a:tailEnd/>
                        </a:ln>
                      </wps:spPr>
                      <wps:txbx>
                        <w:txbxContent>
                          <w:p w14:paraId="6F37834E" w14:textId="7FC8B22F" w:rsidR="004157A7" w:rsidRPr="000A73E3" w:rsidRDefault="004157A7" w:rsidP="004157A7">
                            <w:pPr>
                              <w:jc w:val="both"/>
                              <w:rPr>
                                <w:rFonts w:ascii="Barlow Condensed" w:hAnsi="Barlow Condensed" w:cs="Arial"/>
                                <w:i/>
                                <w:iCs/>
                                <w:caps/>
                                <w:sz w:val="20"/>
                              </w:rPr>
                            </w:pPr>
                            <w:r w:rsidRPr="000A73E3">
                              <w:rPr>
                                <w:rFonts w:ascii="Barlow Condensed" w:hAnsi="Barlow Condensed" w:cs="Arial"/>
                                <w:i/>
                                <w:iCs/>
                                <w:color w:val="000000" w:themeColor="text1"/>
                                <w:sz w:val="22"/>
                                <w:szCs w:val="22"/>
                              </w:rPr>
                              <w:t>Aktuali redakcija nuo 2026 m.</w:t>
                            </w:r>
                            <w:r w:rsidR="008557DA">
                              <w:rPr>
                                <w:rFonts w:ascii="Barlow Condensed" w:hAnsi="Barlow Condensed" w:cs="Arial"/>
                                <w:i/>
                                <w:iCs/>
                                <w:color w:val="000000" w:themeColor="text1"/>
                                <w:sz w:val="22"/>
                                <w:szCs w:val="22"/>
                              </w:rPr>
                              <w:t xml:space="preserve"> birželio 29</w:t>
                            </w:r>
                            <w:r w:rsidRPr="000A73E3">
                              <w:rPr>
                                <w:rFonts w:ascii="Barlow Condensed" w:hAnsi="Barlow Condensed" w:cs="Arial"/>
                                <w:i/>
                                <w:iCs/>
                                <w:color w:val="000000" w:themeColor="text1"/>
                                <w:sz w:val="22"/>
                                <w:szCs w:val="22"/>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13D432" id="_x0000_t202" coordsize="21600,21600" o:spt="202" path="m,l,21600r21600,l21600,xe">
                <v:stroke joinstyle="miter"/>
                <v:path gradientshapeok="t" o:connecttype="rect"/>
              </v:shapetype>
              <v:shape id="Text Box 2" o:spid="_x0000_s1026" type="#_x0000_t202" style="position:absolute;margin-left:0;margin-top:1.2pt;width:265.5pt;height:21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" filled="f" stroked="f">
                <v:textbox>
                  <w:txbxContent>
                    <w:p w14:paraId="6F37834E" w14:textId="7FC8B22F" w:rsidR="004157A7" w:rsidRPr="000A73E3" w:rsidRDefault="004157A7" w:rsidP="004157A7">
                      <w:pPr>
                        <w:jc w:val="both"/>
                        <w:rPr>
                          <w:rFonts w:ascii="Barlow Condensed" w:hAnsi="Barlow Condensed" w:cs="Arial"/>
                          <w:i/>
                          <w:iCs/>
                          <w:caps/>
                          <w:sz w:val="20"/>
                        </w:rPr>
                      </w:pPr>
                      <w:r w:rsidRPr="000A73E3">
                        <w:rPr>
                          <w:rFonts w:ascii="Barlow Condensed" w:hAnsi="Barlow Condensed" w:cs="Arial"/>
                          <w:i/>
                          <w:iCs/>
                          <w:color w:val="000000" w:themeColor="text1"/>
                          <w:sz w:val="22"/>
                          <w:szCs w:val="22"/>
                        </w:rPr>
                        <w:t>Aktuali redakcija nuo 2026 m.</w:t>
                      </w:r>
                      <w:r w:rsidR="008557DA">
                        <w:rPr>
                          <w:rFonts w:ascii="Barlow Condensed" w:hAnsi="Barlow Condensed" w:cs="Arial"/>
                          <w:i/>
                          <w:iCs/>
                          <w:color w:val="000000" w:themeColor="text1"/>
                          <w:sz w:val="22"/>
                          <w:szCs w:val="22"/>
                        </w:rPr>
                        <w:t xml:space="preserve"> birželio 29</w:t>
                      </w:r>
                      <w:r w:rsidRPr="000A73E3">
                        <w:rPr>
                          <w:rFonts w:ascii="Barlow Condensed" w:hAnsi="Barlow Condensed" w:cs="Arial"/>
                          <w:i/>
                          <w:iCs/>
                          <w:color w:val="000000" w:themeColor="text1"/>
                          <w:sz w:val="22"/>
                          <w:szCs w:val="22"/>
                        </w:rPr>
                        <w:t>d.</w:t>
                      </w:r>
                    </w:p>
                  </w:txbxContent>
                </v:textbox>
                <w10:wrap anchorx="margin"/>
              </v:shape>
            </w:pict>
          </mc:Fallback>
        </mc:AlternateContent>
      </w:r>
      <w:r w:rsidR="00E2753D" w:rsidRPr="005055E9">
        <w:rPr>
          <w:rFonts w:ascii="Aptos Light" w:hAnsi="Aptos Light"/>
          <w:i/>
          <w:iCs/>
          <w:noProof/>
        </w:rPr>
        <mc:AlternateContent>
          <mc:Choice Requires="wps">
            <w:drawing>
              <wp:anchor distT="0" distB="0" distL="114300" distR="114300" simplePos="0" relativeHeight="251659264" behindDoc="0" locked="0" layoutInCell="1" allowOverlap="1" wp14:anchorId="738255DE" wp14:editId="18A35C67">
                <wp:simplePos x="0" y="0"/>
                <wp:positionH relativeFrom="column">
                  <wp:posOffset>5814060</wp:posOffset>
                </wp:positionH>
                <wp:positionV relativeFrom="paragraph">
                  <wp:posOffset>87630</wp:posOffset>
                </wp:positionV>
                <wp:extent cx="3886200" cy="838200"/>
                <wp:effectExtent l="0" t="0" r="0" b="0"/>
                <wp:wrapNone/>
                <wp:docPr id="3" name="Rectangle: Rounded Corners 3"/>
                <wp:cNvGraphicFramePr/>
                <a:graphic xmlns:a="http://schemas.openxmlformats.org/drawingml/2006/main">
                  <a:graphicData uri="http://schemas.microsoft.com/office/word/2010/wordprocessingShape">
                    <wps:wsp>
                      <wps:cNvSpPr/>
                      <wps:spPr>
                        <a:xfrm>
                          <a:off x="0" y="0"/>
                          <a:ext cx="3886200" cy="838200"/>
                        </a:xfrm>
                        <a:prstGeom prst="roundRect">
                          <a:avLst/>
                        </a:prstGeom>
                        <a:noFill/>
                        <a:ln w="15875" cap="flat" cmpd="sng" algn="ctr">
                          <a:noFill/>
                          <a:prstDash val="solid"/>
                        </a:ln>
                        <a:effectLst/>
                      </wps:spPr>
                      <wps:txbx>
                        <w:txbxContent>
                          <w:p w14:paraId="38945983" w14:textId="77777777" w:rsidR="00734A50" w:rsidRDefault="00E2753D" w:rsidP="00E2753D">
                            <w:pPr>
                              <w:spacing w:after="0" w:line="240" w:lineRule="auto"/>
                              <w:rPr>
                                <w:rFonts w:ascii="Barlow Condensed" w:hAnsi="Barlow Condensed" w:cs="Arial"/>
                                <w:color w:val="000000" w:themeColor="text1"/>
                              </w:rPr>
                            </w:pPr>
                            <w:r w:rsidRPr="00734A50">
                              <w:rPr>
                                <w:rFonts w:ascii="Barlow Condensed" w:hAnsi="Barlow Condensed" w:cs="Arial"/>
                                <w:color w:val="000000" w:themeColor="text1"/>
                              </w:rPr>
                              <w:t xml:space="preserve">Nacionalinės mokėjimo agentūros prie Žemės ūkio ministerijos </w:t>
                            </w:r>
                          </w:p>
                          <w:p w14:paraId="5FA71731" w14:textId="77777777" w:rsidR="002843BD" w:rsidRDefault="00E2753D" w:rsidP="00E2753D">
                            <w:pPr>
                              <w:spacing w:after="0" w:line="240" w:lineRule="auto"/>
                              <w:rPr>
                                <w:rFonts w:ascii="Barlow Condensed" w:hAnsi="Barlow Condensed" w:cs="Arial"/>
                                <w:color w:val="000000" w:themeColor="text1"/>
                              </w:rPr>
                            </w:pPr>
                            <w:r w:rsidRPr="00734A50">
                              <w:rPr>
                                <w:rFonts w:ascii="Barlow Condensed" w:hAnsi="Barlow Condensed" w:cs="Arial"/>
                                <w:color w:val="000000" w:themeColor="text1"/>
                              </w:rPr>
                              <w:t xml:space="preserve">2024–2028 metų pažangos strategijos </w:t>
                            </w:r>
                          </w:p>
                          <w:p w14:paraId="4F8A8BA3" w14:textId="7908BF7D" w:rsidR="00E2753D" w:rsidRPr="00734A50" w:rsidRDefault="00E2753D" w:rsidP="00E2753D">
                            <w:pPr>
                              <w:spacing w:after="0" w:line="240" w:lineRule="auto"/>
                              <w:rPr>
                                <w:rFonts w:ascii="Barlow Condensed" w:hAnsi="Barlow Condensed" w:cs="Arial"/>
                                <w:color w:val="000000" w:themeColor="text1"/>
                              </w:rPr>
                            </w:pPr>
                            <w:r w:rsidRPr="00734A50">
                              <w:rPr>
                                <w:rFonts w:ascii="Barlow Condensed" w:hAnsi="Barlow Condensed" w:cs="Arial"/>
                                <w:color w:val="000000" w:themeColor="text1"/>
                              </w:rPr>
                              <w:t>1 priedas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8255DE" id="Rectangle: Rounded Corners 3" o:spid="_x0000_s1026" style="position:absolute;margin-left:457.8pt;margin-top:6.9pt;width:306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" filled="f" stroked="f" strokeweight="1.25pt">
                <v:textbox>
                  <w:txbxContent>
                    <w:p w14:paraId="38945983" w14:textId="77777777" w:rsidR="00734A50" w:rsidRDefault="00E2753D" w:rsidP="00E2753D">
                      <w:pPr>
                        <w:spacing w:after="0" w:line="240" w:lineRule="auto"/>
                        <w:rPr>
                          <w:rFonts w:ascii="Barlow Condensed" w:hAnsi="Barlow Condensed" w:cs="Arial"/>
                          <w:color w:val="000000" w:themeColor="text1"/>
                        </w:rPr>
                      </w:pPr>
                      <w:r w:rsidRPr="00734A50">
                        <w:rPr>
                          <w:rFonts w:ascii="Barlow Condensed" w:hAnsi="Barlow Condensed" w:cs="Arial"/>
                          <w:color w:val="000000" w:themeColor="text1"/>
                        </w:rPr>
                        <w:t xml:space="preserve">Nacionalinės mokėjimo agentūros prie Žemės ūkio ministerijos </w:t>
                      </w:r>
                    </w:p>
                    <w:p w14:paraId="5FA71731" w14:textId="77777777" w:rsidR="002843BD" w:rsidRDefault="00E2753D" w:rsidP="00E2753D">
                      <w:pPr>
                        <w:spacing w:after="0" w:line="240" w:lineRule="auto"/>
                        <w:rPr>
                          <w:rFonts w:ascii="Barlow Condensed" w:hAnsi="Barlow Condensed" w:cs="Arial"/>
                          <w:color w:val="000000" w:themeColor="text1"/>
                        </w:rPr>
                      </w:pPr>
                      <w:r w:rsidRPr="00734A50">
                        <w:rPr>
                          <w:rFonts w:ascii="Barlow Condensed" w:hAnsi="Barlow Condensed" w:cs="Arial"/>
                          <w:color w:val="000000" w:themeColor="text1"/>
                        </w:rPr>
                        <w:t xml:space="preserve">2024–2028 metų pažangos strategijos </w:t>
                      </w:r>
                    </w:p>
                    <w:p w14:paraId="4F8A8BA3" w14:textId="7908BF7D" w:rsidR="00E2753D" w:rsidRPr="00734A50" w:rsidRDefault="00E2753D" w:rsidP="00E2753D">
                      <w:pPr>
                        <w:spacing w:after="0" w:line="240" w:lineRule="auto"/>
                        <w:rPr>
                          <w:rFonts w:ascii="Barlow Condensed" w:hAnsi="Barlow Condensed" w:cs="Arial"/>
                          <w:color w:val="000000" w:themeColor="text1"/>
                        </w:rPr>
                      </w:pPr>
                      <w:r w:rsidRPr="00734A50">
                        <w:rPr>
                          <w:rFonts w:ascii="Barlow Condensed" w:hAnsi="Barlow Condensed" w:cs="Arial"/>
                          <w:color w:val="000000" w:themeColor="text1"/>
                        </w:rPr>
                        <w:t>1 priedas</w:t>
                      </w:r>
                    </w:p>
                  </w:txbxContent>
                </v:textbox>
              </v:roundrect>
            </w:pict>
          </mc:Fallback>
        </mc:AlternateContent>
      </w:r>
    </w:p>
    <w:p w14:paraId="686852F2" w14:textId="4BEA5A0A" w:rsidR="00E2753D" w:rsidRDefault="00E2753D">
      <w:pPr>
        <w:rPr>
          <w:rFonts w:ascii="Aptos Light" w:hAnsi="Aptos Light" w:cs="Arial"/>
          <w:b/>
          <w:bCs/>
          <w:i/>
          <w:iCs/>
        </w:rPr>
      </w:pPr>
    </w:p>
    <w:p w14:paraId="73AA7E4F" w14:textId="77777777" w:rsidR="00E2753D" w:rsidRDefault="00E2753D">
      <w:pPr>
        <w:rPr>
          <w:rFonts w:ascii="Aptos Light" w:hAnsi="Aptos Light" w:cs="Arial"/>
          <w:b/>
          <w:bCs/>
          <w:i/>
          <w:iCs/>
        </w:rPr>
      </w:pPr>
    </w:p>
    <w:p w14:paraId="33E146D2" w14:textId="77777777" w:rsidR="00E2753D" w:rsidRDefault="00E2753D">
      <w:pPr>
        <w:rPr>
          <w:rFonts w:ascii="Aptos Light" w:hAnsi="Aptos Light" w:cs="Arial"/>
          <w:b/>
          <w:bCs/>
          <w:i/>
          <w:iCs/>
        </w:rPr>
      </w:pPr>
    </w:p>
    <w:p w14:paraId="0DF19ED6" w14:textId="767CFC20" w:rsidR="00943A4A" w:rsidRPr="008179C5" w:rsidRDefault="00770191" w:rsidP="00E2753D">
      <w:pPr>
        <w:jc w:val="center"/>
        <w:rPr>
          <w:rFonts w:ascii="Barlow Condensed" w:hAnsi="Barlow Condensed" w:cs="Arial"/>
          <w:sz w:val="32"/>
          <w:szCs w:val="32"/>
        </w:rPr>
      </w:pPr>
      <w:r w:rsidRPr="008179C5">
        <w:rPr>
          <w:rFonts w:ascii="Barlow Condensed" w:hAnsi="Barlow Condensed" w:cs="Arial"/>
          <w:sz w:val="32"/>
          <w:szCs w:val="32"/>
        </w:rPr>
        <w:t>1</w:t>
      </w:r>
      <w:r w:rsidR="00C1650C" w:rsidRPr="008179C5">
        <w:rPr>
          <w:rFonts w:ascii="Barlow Condensed" w:hAnsi="Barlow Condensed" w:cs="Arial"/>
          <w:sz w:val="32"/>
          <w:szCs w:val="32"/>
        </w:rPr>
        <w:t xml:space="preserve"> priedas. NMA 2026 m. stiprybių, silpnybių, galimybių ir grėsmių (SSGG) analizė</w:t>
      </w:r>
    </w:p>
    <w:tbl>
      <w:tblPr>
        <w:tblStyle w:val="TableGrid"/>
        <w:tblW w:w="14742" w:type="dxa"/>
        <w:tblLook w:val="04A0" w:firstRow="1" w:lastRow="0" w:firstColumn="1" w:lastColumn="0" w:noHBand="0" w:noVBand="1"/>
      </w:tblPr>
      <w:tblGrid>
        <w:gridCol w:w="6663"/>
        <w:gridCol w:w="708"/>
        <w:gridCol w:w="7371"/>
      </w:tblGrid>
      <w:tr w:rsidR="00B5283D" w:rsidRPr="008A460E" w14:paraId="3E8D564C" w14:textId="77777777" w:rsidTr="008A2681">
        <w:trPr>
          <w:trHeight w:val="591"/>
        </w:trPr>
        <w:tc>
          <w:tcPr>
            <w:tcW w:w="6663" w:type="dxa"/>
            <w:tcBorders>
              <w:left w:val="nil"/>
              <w:right w:val="nil"/>
            </w:tcBorders>
            <w:vAlign w:val="center"/>
          </w:tcPr>
          <w:p w14:paraId="654B68F7" w14:textId="77777777" w:rsidR="00B5283D" w:rsidRPr="008A460E" w:rsidRDefault="00B5283D" w:rsidP="00A5150E">
            <w:pPr>
              <w:jc w:val="center"/>
              <w:rPr>
                <w:rFonts w:ascii="Barlow Condensed" w:hAnsi="Barlow Condensed" w:cs="Arial"/>
                <w:color w:val="000000" w:themeColor="text1"/>
                <w:sz w:val="28"/>
                <w:szCs w:val="28"/>
              </w:rPr>
            </w:pPr>
            <w:r w:rsidRPr="008A460E">
              <w:rPr>
                <w:rFonts w:ascii="Barlow Condensed" w:hAnsi="Barlow Condensed" w:cs="Arial"/>
                <w:color w:val="000000" w:themeColor="text1"/>
                <w:sz w:val="28"/>
                <w:szCs w:val="28"/>
              </w:rPr>
              <w:t>STIPRYBĖS</w:t>
            </w:r>
          </w:p>
        </w:tc>
        <w:tc>
          <w:tcPr>
            <w:tcW w:w="708" w:type="dxa"/>
            <w:tcBorders>
              <w:top w:val="nil"/>
              <w:left w:val="nil"/>
              <w:bottom w:val="nil"/>
              <w:right w:val="nil"/>
            </w:tcBorders>
          </w:tcPr>
          <w:p w14:paraId="4DA6236A" w14:textId="77777777" w:rsidR="00B5283D" w:rsidRPr="008A460E" w:rsidRDefault="00B5283D" w:rsidP="00A5150E">
            <w:pPr>
              <w:jc w:val="center"/>
              <w:rPr>
                <w:rFonts w:ascii="Barlow Condensed" w:hAnsi="Barlow Condensed" w:cs="Arial"/>
                <w:color w:val="000000" w:themeColor="text1"/>
                <w:sz w:val="28"/>
                <w:szCs w:val="28"/>
              </w:rPr>
            </w:pPr>
          </w:p>
        </w:tc>
        <w:tc>
          <w:tcPr>
            <w:tcW w:w="7371" w:type="dxa"/>
            <w:tcBorders>
              <w:left w:val="nil"/>
              <w:right w:val="nil"/>
            </w:tcBorders>
            <w:vAlign w:val="center"/>
          </w:tcPr>
          <w:p w14:paraId="31CAE407" w14:textId="79A4CABF" w:rsidR="00B5283D" w:rsidRPr="008A460E" w:rsidRDefault="00B5283D" w:rsidP="00A54129">
            <w:pPr>
              <w:jc w:val="center"/>
              <w:rPr>
                <w:rFonts w:ascii="Barlow Condensed" w:hAnsi="Barlow Condensed" w:cs="Arial"/>
                <w:color w:val="000000" w:themeColor="text1"/>
                <w:sz w:val="28"/>
                <w:szCs w:val="28"/>
              </w:rPr>
            </w:pPr>
            <w:r w:rsidRPr="008A460E">
              <w:rPr>
                <w:rFonts w:ascii="Barlow Condensed" w:hAnsi="Barlow Condensed" w:cs="Arial"/>
                <w:color w:val="000000" w:themeColor="text1"/>
                <w:sz w:val="28"/>
                <w:szCs w:val="28"/>
              </w:rPr>
              <w:t>GALIMYBĖS</w:t>
            </w:r>
          </w:p>
        </w:tc>
      </w:tr>
      <w:tr w:rsidR="00B5283D" w:rsidRPr="008A460E" w14:paraId="76CC8D70" w14:textId="77777777" w:rsidTr="008A2681">
        <w:trPr>
          <w:trHeight w:val="1804"/>
        </w:trPr>
        <w:tc>
          <w:tcPr>
            <w:tcW w:w="6663" w:type="dxa"/>
            <w:tcBorders>
              <w:left w:val="nil"/>
              <w:right w:val="nil"/>
            </w:tcBorders>
          </w:tcPr>
          <w:p w14:paraId="4F347D3F" w14:textId="05A03A62" w:rsidR="00B5283D" w:rsidRPr="008A460E" w:rsidRDefault="00B5283D" w:rsidP="00B3429B">
            <w:pPr>
              <w:rPr>
                <w:rFonts w:ascii="Barlow Condensed" w:hAnsi="Barlow Condensed" w:cs="Arial"/>
                <w:color w:val="000000" w:themeColor="text1"/>
              </w:rPr>
            </w:pPr>
            <w:r w:rsidRPr="008A460E">
              <w:rPr>
                <w:rFonts w:ascii="Barlow Condensed" w:hAnsi="Barlow Condensed" w:cs="Arial"/>
                <w:color w:val="000000" w:themeColor="text1"/>
              </w:rPr>
              <w:t>1. Per 26-ius NMA veiklos metus sukaupta didelė darbuotojų darbo patirtis, žinios, įgūdžiai ir kompetencija</w:t>
            </w:r>
            <w:r w:rsidR="008317DC">
              <w:rPr>
                <w:rFonts w:ascii="Barlow Condensed" w:hAnsi="Barlow Condensed" w:cs="Arial"/>
                <w:color w:val="000000" w:themeColor="text1"/>
              </w:rPr>
              <w:t>.</w:t>
            </w:r>
          </w:p>
        </w:tc>
        <w:tc>
          <w:tcPr>
            <w:tcW w:w="708" w:type="dxa"/>
            <w:tcBorders>
              <w:top w:val="nil"/>
              <w:left w:val="nil"/>
              <w:bottom w:val="nil"/>
              <w:right w:val="nil"/>
            </w:tcBorders>
          </w:tcPr>
          <w:p w14:paraId="7FC936A9" w14:textId="77777777" w:rsidR="00B5283D" w:rsidRPr="008A460E" w:rsidRDefault="00B5283D" w:rsidP="00B3429B">
            <w:pPr>
              <w:rPr>
                <w:rFonts w:ascii="Barlow Condensed" w:hAnsi="Barlow Condensed" w:cs="Arial"/>
                <w:color w:val="000000" w:themeColor="text1"/>
              </w:rPr>
            </w:pPr>
          </w:p>
        </w:tc>
        <w:tc>
          <w:tcPr>
            <w:tcW w:w="7371" w:type="dxa"/>
            <w:tcBorders>
              <w:left w:val="nil"/>
              <w:right w:val="nil"/>
            </w:tcBorders>
          </w:tcPr>
          <w:p w14:paraId="18E058DE" w14:textId="11D76988" w:rsidR="00B5283D" w:rsidRPr="008A460E" w:rsidRDefault="00B5283D" w:rsidP="00B3429B">
            <w:pPr>
              <w:rPr>
                <w:rFonts w:ascii="Barlow Condensed" w:hAnsi="Barlow Condensed" w:cs="Arial"/>
                <w:color w:val="000000" w:themeColor="text1"/>
              </w:rPr>
            </w:pPr>
            <w:r w:rsidRPr="008A460E">
              <w:rPr>
                <w:rFonts w:ascii="Barlow Condensed" w:hAnsi="Barlow Condensed" w:cs="Arial"/>
                <w:color w:val="000000" w:themeColor="text1"/>
              </w:rPr>
              <w:t>1. Tarptautiniai ir kiti projektai suteikia galimybę gauti papildomą finansavimą NMA veiklai tobulinti, darbuotojų kompetencijai ir motyvacijai kelti</w:t>
            </w:r>
            <w:r w:rsidR="008317DC">
              <w:rPr>
                <w:rFonts w:ascii="Barlow Condensed" w:hAnsi="Barlow Condensed" w:cs="Arial"/>
                <w:color w:val="000000" w:themeColor="text1"/>
              </w:rPr>
              <w:t>.</w:t>
            </w:r>
          </w:p>
          <w:p w14:paraId="75944E8A" w14:textId="49ECE3AD" w:rsidR="00B5283D" w:rsidRPr="008A460E" w:rsidRDefault="00B5283D" w:rsidP="00B3429B">
            <w:pPr>
              <w:rPr>
                <w:rFonts w:ascii="Barlow Condensed" w:hAnsi="Barlow Condensed" w:cs="Arial"/>
                <w:color w:val="000000" w:themeColor="text1"/>
              </w:rPr>
            </w:pPr>
            <w:r w:rsidRPr="008A460E">
              <w:rPr>
                <w:rFonts w:ascii="Barlow Condensed" w:hAnsi="Barlow Condensed" w:cs="Arial"/>
                <w:color w:val="000000" w:themeColor="text1"/>
              </w:rPr>
              <w:t xml:space="preserve">Galima Europos Sąjungos plėtra ir naujų valstybių narių įstojimas suteiktų galimybes NMA dalintis sukauptomis žiniomis ir praktine patirtimi (angl. </w:t>
            </w:r>
            <w:r w:rsidRPr="008A2681">
              <w:rPr>
                <w:rFonts w:ascii="Barlow Condensed" w:hAnsi="Barlow Condensed" w:cs="Arial"/>
                <w:i/>
                <w:iCs/>
                <w:color w:val="000000" w:themeColor="text1"/>
              </w:rPr>
              <w:t>know-how</w:t>
            </w:r>
            <w:r w:rsidRPr="008A460E">
              <w:rPr>
                <w:rFonts w:ascii="Barlow Condensed" w:hAnsi="Barlow Condensed" w:cs="Arial"/>
                <w:color w:val="000000" w:themeColor="text1"/>
              </w:rPr>
              <w:t>) su naujomis šalimis, taip didinant tarptautinį NMA žinomumą ir stiprinant institucijos, kaip patikimos ir patyrusios mokėjimo agentūros, įvaizdį</w:t>
            </w:r>
            <w:r w:rsidR="008317DC">
              <w:rPr>
                <w:rFonts w:ascii="Barlow Condensed" w:hAnsi="Barlow Condensed" w:cs="Arial"/>
                <w:color w:val="000000" w:themeColor="text1"/>
              </w:rPr>
              <w:t>.</w:t>
            </w:r>
            <w:r w:rsidRPr="008A460E">
              <w:rPr>
                <w:rFonts w:ascii="Barlow Condensed" w:hAnsi="Barlow Condensed" w:cs="Arial"/>
                <w:color w:val="000000" w:themeColor="text1"/>
              </w:rPr>
              <w:t xml:space="preserve"> </w:t>
            </w:r>
          </w:p>
        </w:tc>
      </w:tr>
      <w:tr w:rsidR="009901A6" w:rsidRPr="008A460E" w14:paraId="5CF60F96" w14:textId="77777777" w:rsidTr="008A2681">
        <w:trPr>
          <w:trHeight w:val="981"/>
        </w:trPr>
        <w:tc>
          <w:tcPr>
            <w:tcW w:w="6663" w:type="dxa"/>
            <w:tcBorders>
              <w:left w:val="nil"/>
              <w:right w:val="nil"/>
            </w:tcBorders>
          </w:tcPr>
          <w:p w14:paraId="7467CF17" w14:textId="5FE19F3F"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2. Nuolat ir kryptingai ugdoma darbuotojų kvalifikacija ir kompetencija vidiniuose ir išoriniuose mokymuose bei nacionalinio ar tarptautinio lygmens projektuose</w:t>
            </w:r>
            <w:r w:rsidR="008317DC">
              <w:rPr>
                <w:rFonts w:ascii="Barlow Condensed" w:hAnsi="Barlow Condensed" w:cs="Arial"/>
                <w:color w:val="000000" w:themeColor="text1"/>
              </w:rPr>
              <w:t>.</w:t>
            </w:r>
          </w:p>
        </w:tc>
        <w:tc>
          <w:tcPr>
            <w:tcW w:w="708" w:type="dxa"/>
            <w:tcBorders>
              <w:top w:val="nil"/>
              <w:left w:val="nil"/>
              <w:bottom w:val="nil"/>
              <w:right w:val="nil"/>
            </w:tcBorders>
          </w:tcPr>
          <w:p w14:paraId="4D80ADCD"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16562D89" w14:textId="099476FB" w:rsidR="00B5283D" w:rsidRPr="008A460E" w:rsidRDefault="00B5283D" w:rsidP="00CE5BDF">
            <w:pPr>
              <w:rPr>
                <w:rFonts w:ascii="Barlow Condensed" w:hAnsi="Barlow Condensed" w:cs="Arial"/>
              </w:rPr>
            </w:pPr>
            <w:r w:rsidRPr="008A460E">
              <w:rPr>
                <w:rFonts w:ascii="Barlow Condensed" w:hAnsi="Barlow Condensed" w:cs="Arial"/>
              </w:rPr>
              <w:t xml:space="preserve">2. Galimybė pritraukti nacionalinį (pvz., </w:t>
            </w:r>
            <w:r w:rsidRPr="008A2681">
              <w:rPr>
                <w:rFonts w:ascii="Barlow Condensed" w:hAnsi="Barlow Condensed" w:cs="Arial"/>
                <w:i/>
                <w:iCs/>
              </w:rPr>
              <w:t>GovTech</w:t>
            </w:r>
            <w:r w:rsidRPr="008A460E">
              <w:rPr>
                <w:rFonts w:ascii="Barlow Condensed" w:hAnsi="Barlow Condensed" w:cs="Arial"/>
              </w:rPr>
              <w:t>) ir Europos Sąjungos (pvz., „Horizon“) finansavimą dirbtinio intelekto, IT ir skaitmenizavimo iniciatyvoms, kartu stiprinant bendradarbiavimą su mokslo, inovacijų institucijomis ir verslu</w:t>
            </w:r>
            <w:r w:rsidR="008317DC">
              <w:rPr>
                <w:rFonts w:ascii="Barlow Condensed" w:hAnsi="Barlow Condensed" w:cs="Arial"/>
              </w:rPr>
              <w:t>.</w:t>
            </w:r>
          </w:p>
          <w:p w14:paraId="5C986278" w14:textId="77777777" w:rsidR="00B5283D" w:rsidRPr="008A460E" w:rsidRDefault="00B5283D" w:rsidP="00CE5BDF">
            <w:pPr>
              <w:rPr>
                <w:rFonts w:ascii="Barlow Condensed" w:hAnsi="Barlow Condensed" w:cs="Arial"/>
              </w:rPr>
            </w:pPr>
          </w:p>
        </w:tc>
      </w:tr>
      <w:tr w:rsidR="00B5283D" w:rsidRPr="008A460E" w14:paraId="666FAFA4" w14:textId="77777777" w:rsidTr="008A2681">
        <w:trPr>
          <w:trHeight w:val="1024"/>
        </w:trPr>
        <w:tc>
          <w:tcPr>
            <w:tcW w:w="6663" w:type="dxa"/>
            <w:tcBorders>
              <w:left w:val="nil"/>
              <w:right w:val="nil"/>
            </w:tcBorders>
          </w:tcPr>
          <w:p w14:paraId="205AF83A" w14:textId="20B462A5"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3. Veržli, susitelkianti darbuotojų komanda, skatinanti NMA tvariai judėti pirmyn, nuolat tobulėti, diegti inovacijas</w:t>
            </w:r>
            <w:r w:rsidR="008317DC">
              <w:rPr>
                <w:rFonts w:ascii="Barlow Condensed" w:hAnsi="Barlow Condensed" w:cs="Arial"/>
                <w:color w:val="000000" w:themeColor="text1"/>
              </w:rPr>
              <w:t>.</w:t>
            </w:r>
          </w:p>
        </w:tc>
        <w:tc>
          <w:tcPr>
            <w:tcW w:w="708" w:type="dxa"/>
            <w:tcBorders>
              <w:top w:val="nil"/>
              <w:left w:val="nil"/>
              <w:bottom w:val="nil"/>
              <w:right w:val="nil"/>
            </w:tcBorders>
          </w:tcPr>
          <w:p w14:paraId="539F90EF"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3954C0BC" w14:textId="246B4011"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3. Platus Lietuvos ir užsienio partnerių tinklas sudaro galimybes NMA perimti ir taikyti gerąsias praktikas, stiprinti institucines kompetencijas, gerinti paramos administravimo kokybę ir spartą bei stiprinti NMA įvaizdį</w:t>
            </w:r>
            <w:r w:rsidR="008317DC">
              <w:rPr>
                <w:rFonts w:ascii="Barlow Condensed" w:hAnsi="Barlow Condensed" w:cs="Arial"/>
                <w:color w:val="000000" w:themeColor="text1"/>
              </w:rPr>
              <w:t>.</w:t>
            </w:r>
          </w:p>
        </w:tc>
      </w:tr>
      <w:tr w:rsidR="004943A5" w:rsidRPr="008A460E" w14:paraId="66744324" w14:textId="77777777" w:rsidTr="008A2681">
        <w:trPr>
          <w:trHeight w:val="1407"/>
        </w:trPr>
        <w:tc>
          <w:tcPr>
            <w:tcW w:w="6663" w:type="dxa"/>
            <w:tcBorders>
              <w:left w:val="nil"/>
              <w:right w:val="nil"/>
            </w:tcBorders>
          </w:tcPr>
          <w:p w14:paraId="65B21CE3" w14:textId="0CC3D237"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4. Socialiniai, instituciniai partneriai, pareiškėjai bei paramos gavėjai teigiamai vertina NMA</w:t>
            </w:r>
            <w:r w:rsidR="008317DC">
              <w:rPr>
                <w:rFonts w:ascii="Barlow Condensed" w:hAnsi="Barlow Condensed" w:cs="Arial"/>
                <w:color w:val="000000" w:themeColor="text1"/>
              </w:rPr>
              <w:t>.</w:t>
            </w:r>
          </w:p>
        </w:tc>
        <w:tc>
          <w:tcPr>
            <w:tcW w:w="708" w:type="dxa"/>
            <w:tcBorders>
              <w:top w:val="nil"/>
              <w:left w:val="nil"/>
              <w:bottom w:val="nil"/>
              <w:right w:val="nil"/>
            </w:tcBorders>
          </w:tcPr>
          <w:p w14:paraId="6FA006DF"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30400E57" w14:textId="6BD1C081" w:rsidR="00B5283D" w:rsidRPr="008A460E" w:rsidRDefault="00B5283D" w:rsidP="00CE5BDF">
            <w:pPr>
              <w:rPr>
                <w:rFonts w:ascii="Barlow Condensed" w:hAnsi="Barlow Condensed" w:cs="Arial"/>
              </w:rPr>
            </w:pPr>
            <w:r w:rsidRPr="008A460E">
              <w:rPr>
                <w:rFonts w:ascii="Barlow Condensed" w:hAnsi="Barlow Condensed" w:cs="Arial"/>
              </w:rPr>
              <w:t>4. Spartus išorinės technologinės aplinkos vystymasis, ypač IT, dirbtinio intelekto ir vis gausėjančių palydovinių duomenų kontekste, suteikia NMA galimybių išnaudoti šiuolaikinių technologijų potencialą ne tik kuriant nuosavus įrankius, bet ir automatizuojant procesus, taip efektyvinant paramos administravimą ir stiprinant duomenimis grįstą klientų konsultavimą</w:t>
            </w:r>
            <w:r w:rsidR="008317DC">
              <w:rPr>
                <w:rFonts w:ascii="Barlow Condensed" w:hAnsi="Barlow Condensed" w:cs="Arial"/>
              </w:rPr>
              <w:t>.</w:t>
            </w:r>
          </w:p>
        </w:tc>
      </w:tr>
      <w:tr w:rsidR="00B5283D" w:rsidRPr="008A460E" w14:paraId="637C359A" w14:textId="77777777" w:rsidTr="008A2681">
        <w:trPr>
          <w:trHeight w:val="1542"/>
        </w:trPr>
        <w:tc>
          <w:tcPr>
            <w:tcW w:w="6663" w:type="dxa"/>
            <w:tcBorders>
              <w:left w:val="nil"/>
              <w:right w:val="nil"/>
            </w:tcBorders>
          </w:tcPr>
          <w:p w14:paraId="1540A668" w14:textId="4185953B" w:rsidR="00F702F3"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5. Aktyvus NMA bendradarbiavimas su socialiniais partneriais bei glaudus bendradarbiavimas su ŽŪM ir kitomis susijusiomis institucijomis užtikrina efektyvesnį veiklos iššūkių sprendimą, nuolatinį paslaugų tobulinimą pagal klientų poreikius ir leidžia operatyviai reaguoti į besikeičiančią teisinę ir politinę aplinką</w:t>
            </w:r>
            <w:r w:rsidR="008317DC">
              <w:rPr>
                <w:rFonts w:ascii="Barlow Condensed" w:hAnsi="Barlow Condensed" w:cs="Arial"/>
                <w:color w:val="000000" w:themeColor="text1"/>
              </w:rPr>
              <w:t>.</w:t>
            </w:r>
          </w:p>
        </w:tc>
        <w:tc>
          <w:tcPr>
            <w:tcW w:w="708" w:type="dxa"/>
            <w:tcBorders>
              <w:top w:val="nil"/>
              <w:left w:val="nil"/>
              <w:bottom w:val="nil"/>
              <w:right w:val="nil"/>
            </w:tcBorders>
          </w:tcPr>
          <w:p w14:paraId="19923DD3"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6A10C154" w14:textId="433244CD"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5. Augantis duomenų prieinamumas valstybės registruose bei stiprėjanti valstybės institucijų skaitmenizavimo kryptis suteikia galimybes NMA integruoti savo informacines sistemas su kitomis viešojo sektoriaus sistemomis, plačiau taikyti automatizuotus patikrinimus ir mažinti administracinę naštą</w:t>
            </w:r>
            <w:r w:rsidR="008317DC">
              <w:rPr>
                <w:rFonts w:ascii="Barlow Condensed" w:hAnsi="Barlow Condensed" w:cs="Arial"/>
                <w:color w:val="000000" w:themeColor="text1"/>
              </w:rPr>
              <w:t>.</w:t>
            </w:r>
          </w:p>
        </w:tc>
      </w:tr>
      <w:tr w:rsidR="00B5283D" w:rsidRPr="008A460E" w14:paraId="7DDF91B9" w14:textId="77777777" w:rsidTr="008A2681">
        <w:trPr>
          <w:trHeight w:val="1691"/>
        </w:trPr>
        <w:tc>
          <w:tcPr>
            <w:tcW w:w="6663" w:type="dxa"/>
            <w:tcBorders>
              <w:left w:val="nil"/>
              <w:right w:val="nil"/>
            </w:tcBorders>
          </w:tcPr>
          <w:p w14:paraId="52C18FBC" w14:textId="156BCCB4" w:rsidR="00B5283D" w:rsidRPr="008A460E" w:rsidRDefault="0035154C" w:rsidP="00CE5BDF">
            <w:pPr>
              <w:rPr>
                <w:rFonts w:ascii="Barlow Condensed" w:hAnsi="Barlow Condensed" w:cs="Arial"/>
                <w:color w:val="000000" w:themeColor="text1"/>
              </w:rPr>
            </w:pPr>
            <w:r w:rsidRPr="008A460E">
              <w:rPr>
                <w:rFonts w:ascii="Barlow Condensed" w:hAnsi="Barlow Condensed" w:cs="Arial"/>
                <w:color w:val="000000" w:themeColor="text1"/>
              </w:rPr>
              <w:lastRenderedPageBreak/>
              <w:t>6</w:t>
            </w:r>
            <w:r w:rsidR="00B5283D" w:rsidRPr="008A460E">
              <w:rPr>
                <w:rFonts w:ascii="Barlow Condensed" w:hAnsi="Barlow Condensed" w:cs="Arial"/>
                <w:color w:val="000000" w:themeColor="text1"/>
              </w:rPr>
              <w:t>. Šiuolaikiškas, efektyvus įstaigos darbo organizavimas (lankstaus darbo grafiko, nuotolinio darbo galimybės, vykdomi darbo aplinkos tyrimai ir anoniminės apklausos, puoselėjamos NMA tradicijos ir vertybės bei kt.)</w:t>
            </w:r>
            <w:r w:rsidR="008317DC">
              <w:rPr>
                <w:rFonts w:ascii="Barlow Condensed" w:hAnsi="Barlow Condensed" w:cs="Arial"/>
                <w:color w:val="000000" w:themeColor="text1"/>
              </w:rPr>
              <w:t>.</w:t>
            </w:r>
          </w:p>
        </w:tc>
        <w:tc>
          <w:tcPr>
            <w:tcW w:w="708" w:type="dxa"/>
            <w:tcBorders>
              <w:top w:val="nil"/>
              <w:left w:val="nil"/>
              <w:bottom w:val="nil"/>
              <w:right w:val="nil"/>
            </w:tcBorders>
          </w:tcPr>
          <w:p w14:paraId="122B3296"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233570B2" w14:textId="66B43281"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 xml:space="preserve">6. Nacionalinės ir tarptautinės konferencijos, forumai, profesiniai renginiai suteikia galimybes NMA kryptingai pristatyti savo teikiamas paslaugas, kuriamus produktus ir taikomas pažangias praktikas, stiprinti institucijos ir darbdavio įvaizdį, didinti matomumą, pritraukti kompetentingus darbuotojus bei užmegzti partnerystes </w:t>
            </w:r>
            <w:r w:rsidR="008317DC">
              <w:rPr>
                <w:rFonts w:ascii="Barlow Condensed" w:hAnsi="Barlow Condensed" w:cs="Arial"/>
                <w:color w:val="000000" w:themeColor="text1"/>
              </w:rPr>
              <w:t xml:space="preserve">dėl </w:t>
            </w:r>
            <w:r w:rsidRPr="008A460E">
              <w:rPr>
                <w:rFonts w:ascii="Barlow Condensed" w:hAnsi="Barlow Condensed" w:cs="Arial"/>
                <w:color w:val="000000" w:themeColor="text1"/>
              </w:rPr>
              <w:t>bendr</w:t>
            </w:r>
            <w:r w:rsidR="008317DC">
              <w:rPr>
                <w:rFonts w:ascii="Barlow Condensed" w:hAnsi="Barlow Condensed" w:cs="Arial"/>
                <w:color w:val="000000" w:themeColor="text1"/>
              </w:rPr>
              <w:t>ų</w:t>
            </w:r>
            <w:r w:rsidRPr="008A460E">
              <w:rPr>
                <w:rFonts w:ascii="Barlow Condensed" w:hAnsi="Barlow Condensed" w:cs="Arial"/>
                <w:color w:val="000000" w:themeColor="text1"/>
              </w:rPr>
              <w:t xml:space="preserve"> projekt</w:t>
            </w:r>
            <w:r w:rsidR="008317DC">
              <w:rPr>
                <w:rFonts w:ascii="Barlow Condensed" w:hAnsi="Barlow Condensed" w:cs="Arial"/>
                <w:color w:val="000000" w:themeColor="text1"/>
              </w:rPr>
              <w:t>ų.</w:t>
            </w:r>
            <w:r w:rsidRPr="008A460E">
              <w:rPr>
                <w:rFonts w:ascii="Barlow Condensed" w:hAnsi="Barlow Condensed" w:cs="Arial"/>
                <w:color w:val="000000" w:themeColor="text1"/>
              </w:rPr>
              <w:t xml:space="preserve"> </w:t>
            </w:r>
          </w:p>
        </w:tc>
      </w:tr>
      <w:tr w:rsidR="00B5283D" w:rsidRPr="008A460E" w14:paraId="67FC892A" w14:textId="77777777" w:rsidTr="008A2681">
        <w:trPr>
          <w:trHeight w:val="1259"/>
        </w:trPr>
        <w:tc>
          <w:tcPr>
            <w:tcW w:w="6663" w:type="dxa"/>
            <w:tcBorders>
              <w:left w:val="nil"/>
              <w:right w:val="nil"/>
            </w:tcBorders>
          </w:tcPr>
          <w:p w14:paraId="2F213CDF" w14:textId="35800B93" w:rsidR="00B5283D" w:rsidRPr="008A460E" w:rsidRDefault="0035154C" w:rsidP="00CE5BDF">
            <w:pPr>
              <w:rPr>
                <w:rFonts w:ascii="Barlow Condensed" w:hAnsi="Barlow Condensed" w:cs="Arial"/>
                <w:color w:val="000000" w:themeColor="text1"/>
              </w:rPr>
            </w:pPr>
            <w:r w:rsidRPr="008A460E">
              <w:rPr>
                <w:rFonts w:ascii="Barlow Condensed" w:hAnsi="Barlow Condensed" w:cs="Arial"/>
                <w:color w:val="000000" w:themeColor="text1"/>
              </w:rPr>
              <w:t>7</w:t>
            </w:r>
            <w:r w:rsidR="00B5283D" w:rsidRPr="008A460E">
              <w:rPr>
                <w:rFonts w:ascii="Barlow Condensed" w:hAnsi="Barlow Condensed" w:cs="Arial"/>
                <w:color w:val="000000" w:themeColor="text1"/>
              </w:rPr>
              <w:t>. Nuolatos tobulinama informacinių technologijų (toliau – IT) infrastruktūra bei naudojami inovatyvūs informacinių sistemų (toliau – IS), dirbtinio intelekto, procesų automatizavimo, robotizavimo ir optimizavimo sprendimai</w:t>
            </w:r>
            <w:r w:rsidR="008317DC">
              <w:rPr>
                <w:rFonts w:ascii="Barlow Condensed" w:hAnsi="Barlow Condensed" w:cs="Arial"/>
                <w:color w:val="000000" w:themeColor="text1"/>
              </w:rPr>
              <w:t>.</w:t>
            </w:r>
            <w:r w:rsidR="00B5283D" w:rsidRPr="008A460E">
              <w:rPr>
                <w:rFonts w:ascii="Barlow Condensed" w:hAnsi="Barlow Condensed" w:cs="Arial"/>
                <w:color w:val="000000" w:themeColor="text1"/>
              </w:rPr>
              <w:t xml:space="preserve"> </w:t>
            </w:r>
          </w:p>
        </w:tc>
        <w:tc>
          <w:tcPr>
            <w:tcW w:w="708" w:type="dxa"/>
            <w:tcBorders>
              <w:top w:val="nil"/>
              <w:left w:val="nil"/>
              <w:bottom w:val="nil"/>
              <w:right w:val="nil"/>
            </w:tcBorders>
          </w:tcPr>
          <w:p w14:paraId="2ABC8132"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27197123" w14:textId="63C946A5"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7. Lietuvos pirmininkavimas Europos Sąjungos Tarybai 2027 metais suteikia galimybes NMA stiprinti tarptautinį matomumą, plėsti bendradarbiavimą su ES institucijomis ir kitų valstybių narių mokėjimo agentūromis, aktyviau įsitraukti į ES lygmens iniciatyvas</w:t>
            </w:r>
            <w:r w:rsidR="008317DC">
              <w:rPr>
                <w:rFonts w:ascii="Barlow Condensed" w:hAnsi="Barlow Condensed" w:cs="Arial"/>
                <w:color w:val="000000" w:themeColor="text1"/>
              </w:rPr>
              <w:t>.</w:t>
            </w:r>
            <w:r w:rsidRPr="008A460E">
              <w:rPr>
                <w:rFonts w:ascii="Barlow Condensed" w:hAnsi="Barlow Condensed" w:cs="Arial"/>
                <w:color w:val="000000" w:themeColor="text1"/>
              </w:rPr>
              <w:t xml:space="preserve"> </w:t>
            </w:r>
          </w:p>
        </w:tc>
      </w:tr>
      <w:tr w:rsidR="00B5283D" w:rsidRPr="008A460E" w14:paraId="14E6AE33" w14:textId="77777777" w:rsidTr="008A2681">
        <w:trPr>
          <w:trHeight w:val="1476"/>
        </w:trPr>
        <w:tc>
          <w:tcPr>
            <w:tcW w:w="6663" w:type="dxa"/>
            <w:tcBorders>
              <w:left w:val="nil"/>
              <w:right w:val="nil"/>
            </w:tcBorders>
          </w:tcPr>
          <w:p w14:paraId="0A024479" w14:textId="38E0835D" w:rsidR="00B5283D" w:rsidRPr="008A460E" w:rsidRDefault="0035154C" w:rsidP="00CE5BDF">
            <w:pPr>
              <w:rPr>
                <w:rFonts w:ascii="Barlow Condensed" w:hAnsi="Barlow Condensed" w:cs="Arial"/>
                <w:color w:val="000000" w:themeColor="text1"/>
              </w:rPr>
            </w:pPr>
            <w:r w:rsidRPr="008A460E">
              <w:rPr>
                <w:rFonts w:ascii="Barlow Condensed" w:hAnsi="Barlow Condensed" w:cs="Arial"/>
                <w:color w:val="000000" w:themeColor="text1"/>
              </w:rPr>
              <w:t>8</w:t>
            </w:r>
            <w:r w:rsidR="00B5283D" w:rsidRPr="008A460E">
              <w:rPr>
                <w:rFonts w:ascii="Barlow Condensed" w:hAnsi="Barlow Condensed" w:cs="Arial"/>
                <w:color w:val="000000" w:themeColor="text1"/>
              </w:rPr>
              <w:t xml:space="preserve">. Kasdienėje veikloje daugiau nei 10 metų taikomi ISO standartai: </w:t>
            </w:r>
          </w:p>
          <w:p w14:paraId="5E27037F" w14:textId="192BE7A0"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kokybės vadybos, informacijos saugos ir rizikų valdymo</w:t>
            </w:r>
            <w:r w:rsidR="008317DC">
              <w:rPr>
                <w:rFonts w:ascii="Barlow Condensed" w:hAnsi="Barlow Condensed" w:cs="Arial"/>
                <w:color w:val="000000" w:themeColor="text1"/>
              </w:rPr>
              <w:t>.</w:t>
            </w:r>
          </w:p>
        </w:tc>
        <w:tc>
          <w:tcPr>
            <w:tcW w:w="708" w:type="dxa"/>
            <w:tcBorders>
              <w:top w:val="nil"/>
              <w:left w:val="nil"/>
              <w:bottom w:val="nil"/>
              <w:right w:val="nil"/>
            </w:tcBorders>
          </w:tcPr>
          <w:p w14:paraId="00DA21C0"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2A1C0870" w14:textId="2A026C43" w:rsidR="00B5283D" w:rsidRPr="008A460E" w:rsidRDefault="00B5283D" w:rsidP="00CE5BDF">
            <w:pPr>
              <w:rPr>
                <w:rFonts w:ascii="Barlow Condensed" w:hAnsi="Barlow Condensed" w:cs="Arial"/>
              </w:rPr>
            </w:pPr>
            <w:r w:rsidRPr="008A460E">
              <w:rPr>
                <w:rFonts w:ascii="Barlow Condensed" w:hAnsi="Barlow Condensed" w:cs="Arial"/>
              </w:rPr>
              <w:t>8. Artėjantis naujas Bendrosios žemės ūkio politikos (BŽŪP) paramos finansavimo laikotarpis suteikia galimybes peržiūrėti ir atnaujinti veiklos procesus, stiprinti institucinius pajėgumus bei diegti inovatyvius sprendimus, atsižvelgiant į numatomus supaprastinimus ir didesnį lankstumą valstybėms narėms paramos administravimo reikalavimuose</w:t>
            </w:r>
            <w:r w:rsidR="008317DC">
              <w:rPr>
                <w:rFonts w:ascii="Barlow Condensed" w:hAnsi="Barlow Condensed" w:cs="Arial"/>
              </w:rPr>
              <w:t>.</w:t>
            </w:r>
          </w:p>
        </w:tc>
      </w:tr>
      <w:tr w:rsidR="00B5283D" w:rsidRPr="008A460E" w14:paraId="7100570A" w14:textId="77777777" w:rsidTr="008A2681">
        <w:trPr>
          <w:trHeight w:val="1414"/>
        </w:trPr>
        <w:tc>
          <w:tcPr>
            <w:tcW w:w="6663" w:type="dxa"/>
            <w:tcBorders>
              <w:left w:val="nil"/>
              <w:right w:val="nil"/>
            </w:tcBorders>
          </w:tcPr>
          <w:p w14:paraId="70B5A36E" w14:textId="24339342" w:rsidR="00B5283D" w:rsidRPr="008A460E" w:rsidRDefault="0035154C" w:rsidP="00CE5BDF">
            <w:pPr>
              <w:rPr>
                <w:rFonts w:ascii="Barlow Condensed" w:hAnsi="Barlow Condensed" w:cs="Arial"/>
                <w:color w:val="000000" w:themeColor="text1"/>
              </w:rPr>
            </w:pPr>
            <w:r w:rsidRPr="008A460E">
              <w:rPr>
                <w:rFonts w:ascii="Barlow Condensed" w:hAnsi="Barlow Condensed" w:cs="Arial"/>
                <w:color w:val="000000" w:themeColor="text1"/>
              </w:rPr>
              <w:t>9</w:t>
            </w:r>
            <w:r w:rsidR="00B5283D" w:rsidRPr="008A460E">
              <w:rPr>
                <w:rFonts w:ascii="Barlow Condensed" w:hAnsi="Barlow Condensed" w:cs="Arial"/>
                <w:color w:val="000000" w:themeColor="text1"/>
              </w:rPr>
              <w:t>. NMA veikla, įskaitant deleguotų funkcijų vykdymo kontrolę, yra aiškiai ir nuosekliai reglamentuota ES ir nacionaliniais teisės aktais, strateginiais dokumentais bei vidinėmis administravimo procedūromis, užtikrinant veiklos skaidrumą, atitiktį reikalavimams ir sprendimų nuoseklumą</w:t>
            </w:r>
            <w:r w:rsidR="008317DC">
              <w:rPr>
                <w:rFonts w:ascii="Barlow Condensed" w:hAnsi="Barlow Condensed" w:cs="Arial"/>
                <w:color w:val="000000" w:themeColor="text1"/>
              </w:rPr>
              <w:t>.</w:t>
            </w:r>
          </w:p>
        </w:tc>
        <w:tc>
          <w:tcPr>
            <w:tcW w:w="708" w:type="dxa"/>
            <w:tcBorders>
              <w:top w:val="nil"/>
              <w:left w:val="nil"/>
              <w:bottom w:val="nil"/>
              <w:right w:val="nil"/>
            </w:tcBorders>
          </w:tcPr>
          <w:p w14:paraId="7FFF4F92"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08A11564" w14:textId="15FD42C7"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9. Galimybė plėsti NMA teikiamų paslaugų spektrą, įtraukiant papildomas kitų institucijų funkcijas ar bendradarbiaujant su kitomis įstaigomis, taip didinant veiklos mastą, efektyvumą ir kuriamą vertę klientams</w:t>
            </w:r>
            <w:r w:rsidR="008317DC">
              <w:rPr>
                <w:rFonts w:ascii="Barlow Condensed" w:hAnsi="Barlow Condensed" w:cs="Arial"/>
                <w:color w:val="000000" w:themeColor="text1"/>
              </w:rPr>
              <w:t>.</w:t>
            </w:r>
          </w:p>
        </w:tc>
      </w:tr>
      <w:tr w:rsidR="00B5283D" w:rsidRPr="008A460E" w14:paraId="327E6A12" w14:textId="77777777" w:rsidTr="008A2681">
        <w:trPr>
          <w:trHeight w:val="1128"/>
        </w:trPr>
        <w:tc>
          <w:tcPr>
            <w:tcW w:w="6663" w:type="dxa"/>
            <w:tcBorders>
              <w:left w:val="nil"/>
              <w:right w:val="nil"/>
            </w:tcBorders>
          </w:tcPr>
          <w:p w14:paraId="3518037F" w14:textId="323CBCB2" w:rsidR="00B5283D" w:rsidRPr="008A460E" w:rsidRDefault="0035154C" w:rsidP="00CE5BDF">
            <w:pPr>
              <w:rPr>
                <w:rFonts w:ascii="Barlow Condensed" w:hAnsi="Barlow Condensed" w:cs="Arial"/>
                <w:color w:val="000000" w:themeColor="text1"/>
              </w:rPr>
            </w:pPr>
            <w:r w:rsidRPr="008A460E">
              <w:rPr>
                <w:rFonts w:ascii="Barlow Condensed" w:hAnsi="Barlow Condensed" w:cs="Arial"/>
                <w:color w:val="000000" w:themeColor="text1"/>
              </w:rPr>
              <w:t>10</w:t>
            </w:r>
            <w:r w:rsidR="00B5283D" w:rsidRPr="008A460E">
              <w:rPr>
                <w:rFonts w:ascii="Barlow Condensed" w:hAnsi="Barlow Condensed" w:cs="Arial"/>
                <w:color w:val="000000" w:themeColor="text1"/>
              </w:rPr>
              <w:t>.  Skaidrus ir patikimas paramos administravimas, grindžiamas nuoseklia korupcijos, pažeidimų ir sankcijų prevencija bei veiksmingų sukčiavimo užkardymo priemonių taikymu</w:t>
            </w:r>
            <w:r w:rsidR="008317DC">
              <w:rPr>
                <w:rFonts w:ascii="Barlow Condensed" w:hAnsi="Barlow Condensed" w:cs="Arial"/>
                <w:color w:val="000000" w:themeColor="text1"/>
              </w:rPr>
              <w:t>.</w:t>
            </w:r>
          </w:p>
        </w:tc>
        <w:tc>
          <w:tcPr>
            <w:tcW w:w="708" w:type="dxa"/>
            <w:tcBorders>
              <w:top w:val="nil"/>
              <w:left w:val="nil"/>
              <w:bottom w:val="nil"/>
              <w:right w:val="nil"/>
            </w:tcBorders>
          </w:tcPr>
          <w:p w14:paraId="0198F5CB"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7D2A30BA" w14:textId="70F34F53" w:rsidR="00B5283D" w:rsidRPr="008A460E" w:rsidRDefault="00B5283D" w:rsidP="00CE5BDF">
            <w:pPr>
              <w:rPr>
                <w:rFonts w:ascii="Barlow Condensed" w:hAnsi="Barlow Condensed" w:cs="Arial"/>
              </w:rPr>
            </w:pPr>
            <w:r w:rsidRPr="008A460E">
              <w:rPr>
                <w:rFonts w:ascii="Barlow Condensed" w:hAnsi="Barlow Condensed" w:cs="Arial"/>
              </w:rPr>
              <w:t>10. NMA valdomi duomenys suteikia galimybių plėtoti pažangią duomenų analitiką, stiprinti rizikų valdymą ir teikti vertingas analitines įžvalgas žemės ūkio sektoriaus dalyviams, politikams ir verslui</w:t>
            </w:r>
            <w:r w:rsidR="008317DC">
              <w:rPr>
                <w:rFonts w:ascii="Barlow Condensed" w:hAnsi="Barlow Condensed" w:cs="Arial"/>
              </w:rPr>
              <w:t>.</w:t>
            </w:r>
            <w:r w:rsidRPr="008A460E">
              <w:rPr>
                <w:rFonts w:ascii="Barlow Condensed" w:hAnsi="Barlow Condensed" w:cs="Arial"/>
              </w:rPr>
              <w:t xml:space="preserve"> </w:t>
            </w:r>
          </w:p>
          <w:p w14:paraId="568F33E4" w14:textId="569C3E2A" w:rsidR="00B5283D" w:rsidRPr="008A460E" w:rsidRDefault="00B5283D" w:rsidP="00CE5BDF">
            <w:pPr>
              <w:rPr>
                <w:rFonts w:ascii="Barlow Condensed" w:hAnsi="Barlow Condensed" w:cs="Arial"/>
                <w:color w:val="000000" w:themeColor="text1"/>
              </w:rPr>
            </w:pPr>
          </w:p>
        </w:tc>
      </w:tr>
      <w:tr w:rsidR="00B5283D" w:rsidRPr="008A460E" w14:paraId="02BFA421" w14:textId="77777777" w:rsidTr="008A2681">
        <w:trPr>
          <w:trHeight w:val="847"/>
        </w:trPr>
        <w:tc>
          <w:tcPr>
            <w:tcW w:w="6663" w:type="dxa"/>
            <w:tcBorders>
              <w:left w:val="nil"/>
              <w:right w:val="nil"/>
            </w:tcBorders>
          </w:tcPr>
          <w:p w14:paraId="36B7F773" w14:textId="615DD891"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1</w:t>
            </w:r>
            <w:r w:rsidR="0035154C" w:rsidRPr="008A460E">
              <w:rPr>
                <w:rFonts w:ascii="Barlow Condensed" w:hAnsi="Barlow Condensed" w:cs="Arial"/>
                <w:color w:val="000000" w:themeColor="text1"/>
              </w:rPr>
              <w:t>1</w:t>
            </w:r>
            <w:r w:rsidRPr="008A460E">
              <w:rPr>
                <w:rFonts w:ascii="Barlow Condensed" w:hAnsi="Barlow Condensed" w:cs="Arial"/>
                <w:color w:val="000000" w:themeColor="text1"/>
              </w:rPr>
              <w:t xml:space="preserve">. NMA pasižymi tinkamu pasirengimu galimoms krizėms, susijusioms su klimato kaitos ir globalių veiksnių poveikiu, kas stiprina institucijos lyderystę ir mažina </w:t>
            </w:r>
            <w:r w:rsidRPr="008A2681">
              <w:rPr>
                <w:rFonts w:ascii="Barlow Condensed" w:hAnsi="Barlow Condensed" w:cs="Arial"/>
                <w:i/>
                <w:iCs/>
                <w:color w:val="000000" w:themeColor="text1"/>
              </w:rPr>
              <w:t>force majeure</w:t>
            </w:r>
            <w:r w:rsidRPr="008A460E">
              <w:rPr>
                <w:rFonts w:ascii="Barlow Condensed" w:hAnsi="Barlow Condensed" w:cs="Arial"/>
                <w:color w:val="000000" w:themeColor="text1"/>
              </w:rPr>
              <w:t xml:space="preserve"> rizikas</w:t>
            </w:r>
            <w:r w:rsidR="008317DC">
              <w:rPr>
                <w:rFonts w:ascii="Barlow Condensed" w:hAnsi="Barlow Condensed" w:cs="Arial"/>
                <w:color w:val="000000" w:themeColor="text1"/>
              </w:rPr>
              <w:t>.</w:t>
            </w:r>
            <w:r w:rsidRPr="008A460E">
              <w:rPr>
                <w:rFonts w:ascii="Barlow Condensed" w:hAnsi="Barlow Condensed" w:cs="Arial"/>
                <w:color w:val="000000" w:themeColor="text1"/>
              </w:rPr>
              <w:t xml:space="preserve"> </w:t>
            </w:r>
          </w:p>
        </w:tc>
        <w:tc>
          <w:tcPr>
            <w:tcW w:w="708" w:type="dxa"/>
            <w:tcBorders>
              <w:top w:val="nil"/>
              <w:left w:val="nil"/>
              <w:bottom w:val="nil"/>
              <w:right w:val="nil"/>
            </w:tcBorders>
          </w:tcPr>
          <w:p w14:paraId="580D5707" w14:textId="77777777" w:rsidR="00B5283D" w:rsidRPr="008A460E" w:rsidRDefault="00B5283D" w:rsidP="00CE5BDF">
            <w:pPr>
              <w:rPr>
                <w:rFonts w:ascii="Barlow Condensed" w:hAnsi="Barlow Condensed" w:cs="Arial"/>
                <w:color w:val="000000" w:themeColor="text1"/>
              </w:rPr>
            </w:pPr>
          </w:p>
        </w:tc>
        <w:tc>
          <w:tcPr>
            <w:tcW w:w="7371" w:type="dxa"/>
            <w:tcBorders>
              <w:left w:val="nil"/>
              <w:right w:val="nil"/>
            </w:tcBorders>
          </w:tcPr>
          <w:p w14:paraId="3F755F48" w14:textId="3C7FDEF5" w:rsidR="00B5283D" w:rsidRPr="008A460E" w:rsidRDefault="00B5283D" w:rsidP="00CE5BDF">
            <w:pPr>
              <w:rPr>
                <w:rFonts w:ascii="Barlow Condensed" w:hAnsi="Barlow Condensed" w:cs="Arial"/>
              </w:rPr>
            </w:pPr>
            <w:r w:rsidRPr="008A460E">
              <w:rPr>
                <w:rFonts w:ascii="Barlow Condensed" w:hAnsi="Barlow Condensed" w:cs="Arial"/>
              </w:rPr>
              <w:t>11. Pažangių dirbtinio intelekto sprendimų diegimas atveria galimybes NMA imtis lyderystės ir tapti gerosios praktikos pavyzdžiu viešajame sektoriuje</w:t>
            </w:r>
            <w:r w:rsidR="008317DC">
              <w:rPr>
                <w:rFonts w:ascii="Barlow Condensed" w:hAnsi="Barlow Condensed" w:cs="Arial"/>
              </w:rPr>
              <w:t>.</w:t>
            </w:r>
          </w:p>
          <w:p w14:paraId="14D5219A" w14:textId="77777777" w:rsidR="00B5283D" w:rsidRPr="008A460E" w:rsidRDefault="00B5283D" w:rsidP="00CE5BDF">
            <w:pPr>
              <w:rPr>
                <w:rFonts w:ascii="Barlow Condensed" w:hAnsi="Barlow Condensed" w:cs="Arial"/>
                <w:color w:val="C00000"/>
              </w:rPr>
            </w:pPr>
          </w:p>
          <w:p w14:paraId="7E29E17D" w14:textId="4F76DF9F" w:rsidR="00B5283D" w:rsidRPr="008A460E" w:rsidRDefault="00B5283D" w:rsidP="00CE5BDF">
            <w:pPr>
              <w:rPr>
                <w:rFonts w:ascii="Barlow Condensed" w:hAnsi="Barlow Condensed" w:cs="Arial"/>
                <w:color w:val="C00000"/>
              </w:rPr>
            </w:pPr>
          </w:p>
        </w:tc>
      </w:tr>
      <w:tr w:rsidR="00B5283D" w:rsidRPr="008A460E" w14:paraId="132C998F" w14:textId="77777777" w:rsidTr="008A2681">
        <w:trPr>
          <w:trHeight w:val="1192"/>
        </w:trPr>
        <w:tc>
          <w:tcPr>
            <w:tcW w:w="6663" w:type="dxa"/>
            <w:tcBorders>
              <w:left w:val="nil"/>
              <w:right w:val="nil"/>
            </w:tcBorders>
          </w:tcPr>
          <w:p w14:paraId="0D08472E" w14:textId="1B68733B" w:rsidR="00B5283D" w:rsidRPr="008A460E" w:rsidRDefault="00B5283D" w:rsidP="00CE5BDF">
            <w:pPr>
              <w:rPr>
                <w:rFonts w:ascii="Barlow Condensed" w:hAnsi="Barlow Condensed" w:cs="Arial"/>
                <w:color w:val="000000" w:themeColor="text1"/>
              </w:rPr>
            </w:pPr>
            <w:r w:rsidRPr="008A460E">
              <w:rPr>
                <w:rFonts w:ascii="Barlow Condensed" w:hAnsi="Barlow Condensed" w:cs="Arial"/>
                <w:color w:val="000000" w:themeColor="text1"/>
              </w:rPr>
              <w:t>1</w:t>
            </w:r>
            <w:r w:rsidR="0035154C" w:rsidRPr="008A460E">
              <w:rPr>
                <w:rFonts w:ascii="Barlow Condensed" w:hAnsi="Barlow Condensed" w:cs="Arial"/>
                <w:color w:val="000000" w:themeColor="text1"/>
              </w:rPr>
              <w:t>2</w:t>
            </w:r>
            <w:r w:rsidRPr="008A460E">
              <w:rPr>
                <w:rFonts w:ascii="Barlow Condensed" w:hAnsi="Barlow Condensed" w:cs="Arial"/>
                <w:color w:val="000000" w:themeColor="text1"/>
              </w:rPr>
              <w:t>. NMA demonstruoja iniciatyvą ir lyderystę tvarumo srityje, aktyviai įsitraukdama į tvarumo iniciatyvas ir telkdama bendradarbiavimą su kitais subjektais (pvz., Turto banku), taip stiprindama savo pozicijas kaip pavyzdinė aplinką tausojanti institucija Lietuvoje</w:t>
            </w:r>
            <w:r w:rsidR="008317DC">
              <w:rPr>
                <w:rFonts w:ascii="Barlow Condensed" w:hAnsi="Barlow Condensed" w:cs="Arial"/>
                <w:color w:val="000000" w:themeColor="text1"/>
              </w:rPr>
              <w:t>.</w:t>
            </w:r>
            <w:r w:rsidRPr="008A460E">
              <w:rPr>
                <w:rFonts w:ascii="Barlow Condensed" w:hAnsi="Barlow Condensed" w:cs="Arial"/>
                <w:color w:val="000000" w:themeColor="text1"/>
              </w:rPr>
              <w:t xml:space="preserve"> </w:t>
            </w:r>
          </w:p>
        </w:tc>
        <w:tc>
          <w:tcPr>
            <w:tcW w:w="708" w:type="dxa"/>
            <w:tcBorders>
              <w:top w:val="nil"/>
              <w:left w:val="nil"/>
              <w:bottom w:val="nil"/>
              <w:right w:val="nil"/>
            </w:tcBorders>
          </w:tcPr>
          <w:p w14:paraId="18510663" w14:textId="77777777" w:rsidR="00B5283D" w:rsidRPr="008A460E" w:rsidRDefault="00B5283D" w:rsidP="00CE5BDF">
            <w:pPr>
              <w:rPr>
                <w:rFonts w:ascii="Barlow Condensed" w:hAnsi="Barlow Condensed" w:cs="Arial"/>
                <w:color w:val="C00000"/>
              </w:rPr>
            </w:pPr>
          </w:p>
        </w:tc>
        <w:tc>
          <w:tcPr>
            <w:tcW w:w="7371" w:type="dxa"/>
            <w:tcBorders>
              <w:left w:val="nil"/>
              <w:right w:val="nil"/>
            </w:tcBorders>
          </w:tcPr>
          <w:p w14:paraId="0F5B0D08" w14:textId="5BEAEEC5" w:rsidR="00B5283D" w:rsidRPr="008A460E" w:rsidRDefault="00B5283D" w:rsidP="00050B0C">
            <w:pPr>
              <w:rPr>
                <w:rFonts w:ascii="Barlow Condensed" w:hAnsi="Barlow Condensed" w:cs="Arial"/>
              </w:rPr>
            </w:pPr>
            <w:r w:rsidRPr="008A460E">
              <w:rPr>
                <w:rFonts w:ascii="Barlow Condensed" w:hAnsi="Barlow Condensed" w:cs="Arial"/>
              </w:rPr>
              <w:t>12. Tarptautinių ISO standartų (pvz., korupcijos prevencijos valdymo) ir kitų gerosios vadybos praktikų diegimas suteikia galimybes stiprinti skaidrumą, veiklos efektyvumą ir organizacinę brandą</w:t>
            </w:r>
            <w:r w:rsidR="008317DC">
              <w:rPr>
                <w:rFonts w:ascii="Barlow Condensed" w:hAnsi="Barlow Condensed" w:cs="Arial"/>
              </w:rPr>
              <w:t>.</w:t>
            </w:r>
          </w:p>
          <w:p w14:paraId="2AD54F4B" w14:textId="330F9232" w:rsidR="00B5283D" w:rsidRPr="008A460E" w:rsidRDefault="00B5283D" w:rsidP="00CE5BDF">
            <w:pPr>
              <w:rPr>
                <w:rFonts w:ascii="Barlow Condensed" w:hAnsi="Barlow Condensed" w:cs="Arial"/>
                <w:color w:val="C00000"/>
              </w:rPr>
            </w:pPr>
          </w:p>
        </w:tc>
      </w:tr>
      <w:tr w:rsidR="00B5283D" w:rsidRPr="008A460E" w14:paraId="7639CCE4" w14:textId="77777777" w:rsidTr="008A2681">
        <w:trPr>
          <w:trHeight w:val="730"/>
        </w:trPr>
        <w:tc>
          <w:tcPr>
            <w:tcW w:w="6663" w:type="dxa"/>
            <w:tcBorders>
              <w:left w:val="nil"/>
              <w:right w:val="nil"/>
            </w:tcBorders>
          </w:tcPr>
          <w:p w14:paraId="310BD17A" w14:textId="5E2BB224" w:rsidR="00B5283D" w:rsidRPr="008A460E" w:rsidRDefault="00B5283D" w:rsidP="00CE5BDF">
            <w:pPr>
              <w:rPr>
                <w:rFonts w:ascii="Barlow Condensed" w:hAnsi="Barlow Condensed" w:cs="Arial"/>
                <w:color w:val="000000" w:themeColor="text1"/>
              </w:rPr>
            </w:pPr>
          </w:p>
        </w:tc>
        <w:tc>
          <w:tcPr>
            <w:tcW w:w="708" w:type="dxa"/>
            <w:tcBorders>
              <w:top w:val="nil"/>
              <w:left w:val="nil"/>
              <w:bottom w:val="nil"/>
              <w:right w:val="nil"/>
            </w:tcBorders>
          </w:tcPr>
          <w:p w14:paraId="5BF83AFC" w14:textId="77777777" w:rsidR="00B5283D" w:rsidRPr="008A460E" w:rsidRDefault="00B5283D" w:rsidP="00CE5BDF">
            <w:pPr>
              <w:rPr>
                <w:rFonts w:ascii="Barlow Condensed" w:hAnsi="Barlow Condensed" w:cs="Arial"/>
              </w:rPr>
            </w:pPr>
          </w:p>
        </w:tc>
        <w:tc>
          <w:tcPr>
            <w:tcW w:w="7371" w:type="dxa"/>
            <w:tcBorders>
              <w:left w:val="nil"/>
              <w:right w:val="nil"/>
            </w:tcBorders>
          </w:tcPr>
          <w:p w14:paraId="72F0812C" w14:textId="4FCA7795" w:rsidR="00B5283D" w:rsidRPr="008A460E" w:rsidRDefault="00B5283D" w:rsidP="00EC7B39">
            <w:pPr>
              <w:rPr>
                <w:rFonts w:ascii="Barlow Condensed" w:hAnsi="Barlow Condensed" w:cs="Arial"/>
              </w:rPr>
            </w:pPr>
            <w:r w:rsidRPr="008A460E">
              <w:rPr>
                <w:rFonts w:ascii="Barlow Condensed" w:hAnsi="Barlow Condensed" w:cs="Arial"/>
              </w:rPr>
              <w:t>13. Įgyvendinami įstaigos struktūriniai ir funkciniai pakeitimai sudaro prielaidas aukštos kompetencijos specialistų pritraukimui</w:t>
            </w:r>
            <w:r w:rsidR="008317DC">
              <w:rPr>
                <w:rFonts w:ascii="Barlow Condensed" w:hAnsi="Barlow Condensed" w:cs="Arial"/>
              </w:rPr>
              <w:t>.</w:t>
            </w:r>
          </w:p>
          <w:p w14:paraId="3B5393FC" w14:textId="0F987018" w:rsidR="00B5283D" w:rsidRPr="008A460E" w:rsidRDefault="00B5283D" w:rsidP="00CE5BDF">
            <w:pPr>
              <w:rPr>
                <w:rFonts w:ascii="Barlow Condensed" w:hAnsi="Barlow Condensed" w:cs="Arial"/>
              </w:rPr>
            </w:pPr>
          </w:p>
        </w:tc>
      </w:tr>
    </w:tbl>
    <w:tbl>
      <w:tblPr>
        <w:tblStyle w:val="TableGrid"/>
        <w:tblpPr w:leftFromText="180" w:rightFromText="180" w:vertAnchor="text" w:horzAnchor="margin" w:tblpY="118"/>
        <w:tblW w:w="14315" w:type="dxa"/>
        <w:tblLook w:val="04A0" w:firstRow="1" w:lastRow="0" w:firstColumn="1" w:lastColumn="0" w:noHBand="0" w:noVBand="1"/>
      </w:tblPr>
      <w:tblGrid>
        <w:gridCol w:w="7370"/>
        <w:gridCol w:w="425"/>
        <w:gridCol w:w="6520"/>
      </w:tblGrid>
      <w:tr w:rsidR="008A2681" w:rsidRPr="00471A4C" w14:paraId="2289FCC0" w14:textId="77777777" w:rsidTr="008A2681">
        <w:trPr>
          <w:trHeight w:val="591"/>
        </w:trPr>
        <w:tc>
          <w:tcPr>
            <w:tcW w:w="7370" w:type="dxa"/>
            <w:tcBorders>
              <w:left w:val="nil"/>
              <w:right w:val="nil"/>
            </w:tcBorders>
            <w:vAlign w:val="center"/>
          </w:tcPr>
          <w:p w14:paraId="207373E9" w14:textId="77777777" w:rsidR="008A2681" w:rsidRPr="008A460E" w:rsidRDefault="008A2681" w:rsidP="008A2681">
            <w:pPr>
              <w:jc w:val="center"/>
              <w:rPr>
                <w:rFonts w:ascii="Barlow Condensed" w:hAnsi="Barlow Condensed" w:cs="Arial"/>
                <w:color w:val="000000" w:themeColor="text1"/>
                <w:sz w:val="28"/>
                <w:szCs w:val="28"/>
              </w:rPr>
            </w:pPr>
            <w:r w:rsidRPr="008A460E">
              <w:rPr>
                <w:rFonts w:ascii="Barlow Condensed" w:hAnsi="Barlow Condensed" w:cs="Arial"/>
                <w:color w:val="000000" w:themeColor="text1"/>
                <w:sz w:val="28"/>
                <w:szCs w:val="28"/>
              </w:rPr>
              <w:lastRenderedPageBreak/>
              <w:t>SILPNYBĖS</w:t>
            </w:r>
          </w:p>
        </w:tc>
        <w:tc>
          <w:tcPr>
            <w:tcW w:w="425" w:type="dxa"/>
            <w:tcBorders>
              <w:top w:val="nil"/>
              <w:left w:val="nil"/>
              <w:bottom w:val="nil"/>
              <w:right w:val="nil"/>
            </w:tcBorders>
          </w:tcPr>
          <w:p w14:paraId="08326DAA" w14:textId="77777777" w:rsidR="008A2681" w:rsidRPr="008A460E" w:rsidRDefault="008A2681" w:rsidP="008A2681">
            <w:pPr>
              <w:jc w:val="center"/>
              <w:rPr>
                <w:rFonts w:ascii="Barlow Condensed" w:hAnsi="Barlow Condensed" w:cs="Arial"/>
                <w:color w:val="000000" w:themeColor="text1"/>
                <w:sz w:val="28"/>
                <w:szCs w:val="28"/>
              </w:rPr>
            </w:pPr>
          </w:p>
        </w:tc>
        <w:tc>
          <w:tcPr>
            <w:tcW w:w="6520" w:type="dxa"/>
            <w:tcBorders>
              <w:left w:val="nil"/>
              <w:right w:val="nil"/>
            </w:tcBorders>
            <w:vAlign w:val="center"/>
          </w:tcPr>
          <w:p w14:paraId="11A5D932" w14:textId="77777777" w:rsidR="008A2681" w:rsidRPr="008A460E" w:rsidRDefault="008A2681" w:rsidP="008A2681">
            <w:pPr>
              <w:jc w:val="center"/>
              <w:rPr>
                <w:rFonts w:ascii="Barlow Condensed" w:hAnsi="Barlow Condensed" w:cs="Arial"/>
                <w:color w:val="000000" w:themeColor="text1"/>
                <w:sz w:val="28"/>
                <w:szCs w:val="28"/>
              </w:rPr>
            </w:pPr>
            <w:r w:rsidRPr="008A460E">
              <w:rPr>
                <w:rFonts w:ascii="Barlow Condensed" w:hAnsi="Barlow Condensed" w:cs="Arial"/>
                <w:color w:val="000000" w:themeColor="text1"/>
                <w:sz w:val="28"/>
                <w:szCs w:val="28"/>
              </w:rPr>
              <w:t>GRĖSMĖS</w:t>
            </w:r>
          </w:p>
        </w:tc>
      </w:tr>
      <w:tr w:rsidR="008A2681" w:rsidRPr="008A460E" w14:paraId="7740A9E1" w14:textId="77777777" w:rsidTr="008A2681">
        <w:trPr>
          <w:trHeight w:val="1224"/>
        </w:trPr>
        <w:tc>
          <w:tcPr>
            <w:tcW w:w="7370" w:type="dxa"/>
            <w:tcBorders>
              <w:left w:val="nil"/>
              <w:right w:val="nil"/>
            </w:tcBorders>
          </w:tcPr>
          <w:p w14:paraId="22B22453" w14:textId="77777777" w:rsidR="008A2681" w:rsidRPr="008A460E" w:rsidRDefault="008A2681" w:rsidP="008A2681">
            <w:pPr>
              <w:ind w:firstLine="22"/>
              <w:rPr>
                <w:rFonts w:ascii="Barlow Condensed" w:hAnsi="Barlow Condensed" w:cs="Arial"/>
                <w:color w:val="000000" w:themeColor="text1"/>
              </w:rPr>
            </w:pPr>
            <w:r w:rsidRPr="008A460E">
              <w:rPr>
                <w:rFonts w:ascii="Barlow Condensed" w:hAnsi="Barlow Condensed" w:cs="Arial"/>
                <w:color w:val="000000" w:themeColor="text1"/>
              </w:rPr>
              <w:t>1. Didelis ir netolygus darbuotojų darbo krūvis (esantys „pikiniai“ laikotarpiai, darbo sezoniškumas) lemiantis didesnį klaidų ir skundų kiekį bei mažėjančią darbuotojų motyvaciją ir įsitraukimą</w:t>
            </w:r>
            <w:r>
              <w:rPr>
                <w:rFonts w:ascii="Barlow Condensed" w:hAnsi="Barlow Condensed" w:cs="Arial"/>
                <w:color w:val="000000" w:themeColor="text1"/>
              </w:rPr>
              <w:t>.</w:t>
            </w:r>
          </w:p>
        </w:tc>
        <w:tc>
          <w:tcPr>
            <w:tcW w:w="425" w:type="dxa"/>
            <w:tcBorders>
              <w:top w:val="nil"/>
              <w:left w:val="nil"/>
              <w:bottom w:val="nil"/>
              <w:right w:val="nil"/>
            </w:tcBorders>
          </w:tcPr>
          <w:p w14:paraId="27283E13"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4DE2220A"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1. Artėjant naujam Bendrosios žemės ūkio politikos (BŽŪP) paramos finansavimo laikotarpiui kylantis neapibrėžtumas dėl naujų paramos administravimo principų ir taisyklių kelia riziką laiku ir tinkamai prisitaikyti prie numatomų pokyčių</w:t>
            </w:r>
            <w:r>
              <w:rPr>
                <w:rFonts w:ascii="Barlow Condensed" w:hAnsi="Barlow Condensed" w:cs="Arial"/>
                <w:color w:val="000000" w:themeColor="text1"/>
              </w:rPr>
              <w:t>.</w:t>
            </w:r>
          </w:p>
        </w:tc>
      </w:tr>
      <w:tr w:rsidR="008A2681" w:rsidRPr="008A460E" w14:paraId="141DA809" w14:textId="77777777" w:rsidTr="008A2681">
        <w:trPr>
          <w:trHeight w:val="1158"/>
        </w:trPr>
        <w:tc>
          <w:tcPr>
            <w:tcW w:w="7370" w:type="dxa"/>
            <w:tcBorders>
              <w:left w:val="nil"/>
              <w:right w:val="nil"/>
            </w:tcBorders>
          </w:tcPr>
          <w:p w14:paraId="06C20B30"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2. Dėl didelės darbo procedūrų apimties bei paramos procesų sudėtingumo ilgas naujų darbuotojų apmokymo bei vienodos praktikos užtikrinimo procesas</w:t>
            </w:r>
            <w:r>
              <w:rPr>
                <w:rFonts w:ascii="Barlow Condensed" w:hAnsi="Barlow Condensed" w:cs="Arial"/>
                <w:color w:val="000000" w:themeColor="text1"/>
              </w:rPr>
              <w:t>.</w:t>
            </w:r>
          </w:p>
        </w:tc>
        <w:tc>
          <w:tcPr>
            <w:tcW w:w="425" w:type="dxa"/>
            <w:tcBorders>
              <w:top w:val="nil"/>
              <w:left w:val="nil"/>
              <w:bottom w:val="nil"/>
              <w:right w:val="nil"/>
            </w:tcBorders>
          </w:tcPr>
          <w:p w14:paraId="5D33DA05"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293FEAC1"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rPr>
              <w:t>2. Artėjantis naujas finansinis laikotarpis ir jame numatyti sudėtingi, ES klimato bei kitiems strateginiams tikslams pritaikyti paramos reikalavimai gali riboti palydovinių ir kitų inovatyvių įrankių taikymą, didinant rankinio darbo ir patikrų apimtis</w:t>
            </w:r>
            <w:r>
              <w:rPr>
                <w:rFonts w:ascii="Barlow Condensed" w:hAnsi="Barlow Condensed" w:cs="Arial"/>
              </w:rPr>
              <w:t>.</w:t>
            </w:r>
          </w:p>
        </w:tc>
      </w:tr>
      <w:tr w:rsidR="008A2681" w:rsidRPr="008A460E" w14:paraId="58F155B5" w14:textId="77777777" w:rsidTr="008A2681">
        <w:trPr>
          <w:trHeight w:val="840"/>
        </w:trPr>
        <w:tc>
          <w:tcPr>
            <w:tcW w:w="7370" w:type="dxa"/>
            <w:tcBorders>
              <w:left w:val="nil"/>
              <w:right w:val="nil"/>
            </w:tcBorders>
          </w:tcPr>
          <w:p w14:paraId="50C42468"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 xml:space="preserve">3. </w:t>
            </w:r>
            <w:r w:rsidRPr="008A460E">
              <w:rPr>
                <w:rFonts w:ascii="Barlow Condensed" w:hAnsi="Barlow Condensed" w:cs="Arial"/>
              </w:rPr>
              <w:t>NMA, kaip darbdavio, įvaizdžio stiprinimo kryptis viešojo sektoriaus kontekste dar nėra pakankamai išvystyta, siekiant pritraukti aukštos kompetencijos darbuotojus</w:t>
            </w:r>
            <w:r>
              <w:rPr>
                <w:rFonts w:ascii="Barlow Condensed" w:hAnsi="Barlow Condensed" w:cs="Arial"/>
              </w:rPr>
              <w:t>.</w:t>
            </w:r>
          </w:p>
        </w:tc>
        <w:tc>
          <w:tcPr>
            <w:tcW w:w="425" w:type="dxa"/>
            <w:tcBorders>
              <w:top w:val="nil"/>
              <w:left w:val="nil"/>
              <w:bottom w:val="nil"/>
              <w:right w:val="nil"/>
            </w:tcBorders>
          </w:tcPr>
          <w:p w14:paraId="0FB57A08"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40174CFD"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3. Per dažnas teisės aktų keitimas didina darbo krūvį, ilgina administravimo procesą (reikia laiko prisitaikyti procedūras ir IS, apmokyti darbuotojus, informuoti klientus)</w:t>
            </w:r>
            <w:r>
              <w:rPr>
                <w:rFonts w:ascii="Barlow Condensed" w:hAnsi="Barlow Condensed" w:cs="Arial"/>
                <w:color w:val="000000" w:themeColor="text1"/>
              </w:rPr>
              <w:t>.</w:t>
            </w:r>
          </w:p>
        </w:tc>
      </w:tr>
      <w:tr w:rsidR="008A2681" w:rsidRPr="008A460E" w14:paraId="3AB8FF01" w14:textId="77777777" w:rsidTr="008A2681">
        <w:trPr>
          <w:trHeight w:val="975"/>
        </w:trPr>
        <w:tc>
          <w:tcPr>
            <w:tcW w:w="7370" w:type="dxa"/>
            <w:tcBorders>
              <w:left w:val="nil"/>
              <w:right w:val="nil"/>
            </w:tcBorders>
          </w:tcPr>
          <w:p w14:paraId="3D71EBC1"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4. Kai kurios paramos administravimo sistemos nebeatitinka šių laikų poreikių, nėra lanksčios, sunkiai pritaikomos prie besikeičiančių paramos administravimo taisyklių ir reikalavimų</w:t>
            </w:r>
            <w:r>
              <w:rPr>
                <w:rFonts w:ascii="Barlow Condensed" w:hAnsi="Barlow Condensed" w:cs="Arial"/>
                <w:color w:val="000000" w:themeColor="text1"/>
              </w:rPr>
              <w:t>.</w:t>
            </w:r>
          </w:p>
        </w:tc>
        <w:tc>
          <w:tcPr>
            <w:tcW w:w="425" w:type="dxa"/>
            <w:tcBorders>
              <w:top w:val="nil"/>
              <w:left w:val="nil"/>
              <w:bottom w:val="nil"/>
              <w:right w:val="nil"/>
            </w:tcBorders>
          </w:tcPr>
          <w:p w14:paraId="566E0D46"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57001F2E"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4. Vėluojantys rangovų darbai stabdytų IT sistemų kūrimo ir tobulinimo darbus</w:t>
            </w:r>
            <w:r>
              <w:rPr>
                <w:rFonts w:ascii="Barlow Condensed" w:hAnsi="Barlow Condensed" w:cs="Arial"/>
                <w:color w:val="000000" w:themeColor="text1"/>
              </w:rPr>
              <w:t>.</w:t>
            </w:r>
          </w:p>
        </w:tc>
      </w:tr>
      <w:tr w:rsidR="008A2681" w:rsidRPr="008A460E" w14:paraId="4FC1B344" w14:textId="77777777" w:rsidTr="008A2681">
        <w:trPr>
          <w:trHeight w:val="848"/>
        </w:trPr>
        <w:tc>
          <w:tcPr>
            <w:tcW w:w="7370" w:type="dxa"/>
            <w:tcBorders>
              <w:left w:val="nil"/>
              <w:right w:val="nil"/>
            </w:tcBorders>
          </w:tcPr>
          <w:p w14:paraId="661B944A"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5. Nuolat tobulinant paramos administravimo procesus (darbo tvarkas ir IT sistemas), trūksta veiksmingo pokyčių valdymo ir aiškaus pokyčių priežasčių bei jų kuriamos naudos iškomunikavimo darbuotojams</w:t>
            </w:r>
            <w:r>
              <w:rPr>
                <w:rFonts w:ascii="Barlow Condensed" w:hAnsi="Barlow Condensed" w:cs="Arial"/>
                <w:color w:val="000000" w:themeColor="text1"/>
              </w:rPr>
              <w:t>.</w:t>
            </w:r>
          </w:p>
        </w:tc>
        <w:tc>
          <w:tcPr>
            <w:tcW w:w="425" w:type="dxa"/>
            <w:tcBorders>
              <w:top w:val="nil"/>
              <w:left w:val="nil"/>
              <w:bottom w:val="nil"/>
              <w:right w:val="nil"/>
            </w:tcBorders>
          </w:tcPr>
          <w:p w14:paraId="4B14CD4C"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7814C475"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5. Didėjanti priklausomybė nuo išorinių IT infrastruktūros tiekėjų</w:t>
            </w:r>
            <w:r>
              <w:rPr>
                <w:rFonts w:ascii="Barlow Condensed" w:hAnsi="Barlow Condensed" w:cs="Arial"/>
                <w:color w:val="000000" w:themeColor="text1"/>
              </w:rPr>
              <w:t>.</w:t>
            </w:r>
          </w:p>
        </w:tc>
      </w:tr>
      <w:tr w:rsidR="008A2681" w:rsidRPr="008A460E" w14:paraId="59AE812D" w14:textId="77777777" w:rsidTr="008A2681">
        <w:trPr>
          <w:trHeight w:val="973"/>
        </w:trPr>
        <w:tc>
          <w:tcPr>
            <w:tcW w:w="7370" w:type="dxa"/>
            <w:tcBorders>
              <w:left w:val="nil"/>
              <w:right w:val="nil"/>
            </w:tcBorders>
          </w:tcPr>
          <w:p w14:paraId="55070DCB"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6. Netaikoma ir nėra nustatyta atlygio ar paskatinimo sistema darbuotojams</w:t>
            </w:r>
            <w:r>
              <w:rPr>
                <w:rFonts w:ascii="Barlow Condensed" w:hAnsi="Barlow Condensed" w:cs="Arial"/>
                <w:color w:val="000000" w:themeColor="text1"/>
              </w:rPr>
              <w:t>,</w:t>
            </w:r>
            <w:r w:rsidRPr="008A460E">
              <w:rPr>
                <w:rFonts w:ascii="Barlow Condensed" w:hAnsi="Barlow Condensed" w:cs="Arial"/>
                <w:color w:val="000000" w:themeColor="text1"/>
              </w:rPr>
              <w:t xml:space="preserve"> dalyvaujantiems vidiniuose NMA projektuose ar kitose iniciatyvose už pasiektus projektų rezultatus</w:t>
            </w:r>
            <w:r>
              <w:rPr>
                <w:rFonts w:ascii="Barlow Condensed" w:hAnsi="Barlow Condensed" w:cs="Arial"/>
                <w:color w:val="000000" w:themeColor="text1"/>
              </w:rPr>
              <w:t>,</w:t>
            </w:r>
          </w:p>
        </w:tc>
        <w:tc>
          <w:tcPr>
            <w:tcW w:w="425" w:type="dxa"/>
            <w:tcBorders>
              <w:top w:val="nil"/>
              <w:left w:val="nil"/>
              <w:bottom w:val="nil"/>
              <w:right w:val="nil"/>
            </w:tcBorders>
          </w:tcPr>
          <w:p w14:paraId="0AA919A3"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1449437B"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6. Kitų institucijų (pvz., dėl deleguotų funkcijų atlikimo kokybės ir savalaikiškumo, tarpinstitucinių patikrų optimizavimo ir pan.) proaktyvumo ir suinteresuotumo pasiekti norimą rezultatą stoka</w:t>
            </w:r>
            <w:r>
              <w:rPr>
                <w:rFonts w:ascii="Barlow Condensed" w:hAnsi="Barlow Condensed" w:cs="Arial"/>
                <w:color w:val="000000" w:themeColor="text1"/>
              </w:rPr>
              <w:t>.</w:t>
            </w:r>
          </w:p>
        </w:tc>
      </w:tr>
      <w:tr w:rsidR="008A2681" w:rsidRPr="008A460E" w14:paraId="615EBCA7" w14:textId="77777777" w:rsidTr="008A2681">
        <w:trPr>
          <w:trHeight w:val="971"/>
        </w:trPr>
        <w:tc>
          <w:tcPr>
            <w:tcW w:w="7370" w:type="dxa"/>
            <w:tcBorders>
              <w:left w:val="nil"/>
              <w:right w:val="nil"/>
            </w:tcBorders>
          </w:tcPr>
          <w:p w14:paraId="169E7DBB"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7. Dėl greitai besikeičiančių IT technologijų ir organizacinių poreikių nuolatiniai, ilgai trunkantys ir brangūs IT sistemų pritaikymo procesai, kurie yra nulemti sudėtingų paramos procesų (procedūrų) ir atitinkamai IT procesų</w:t>
            </w:r>
            <w:r>
              <w:rPr>
                <w:rFonts w:ascii="Barlow Condensed" w:hAnsi="Barlow Condensed" w:cs="Arial"/>
                <w:color w:val="000000" w:themeColor="text1"/>
              </w:rPr>
              <w:t>.</w:t>
            </w:r>
          </w:p>
        </w:tc>
        <w:tc>
          <w:tcPr>
            <w:tcW w:w="425" w:type="dxa"/>
            <w:tcBorders>
              <w:top w:val="nil"/>
              <w:left w:val="nil"/>
              <w:bottom w:val="nil"/>
              <w:right w:val="nil"/>
            </w:tcBorders>
          </w:tcPr>
          <w:p w14:paraId="594A355D"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0EEE271A"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7. Atsižvelgiant į Lietuvos ekonomikos tendencijas, padidėjus infliacijai, nepakankamai ir per lėtai kylantys darbuotojų atlyginimai gali lemti didesnę aukščiausios kompetencijos darbuotojų kaitą ir didinti konkurenciją dėl kompetentingų darbuotojų su kitomis paramą administruojančiomis agentūromis, ministerijomis ar kitomis organizacijomis</w:t>
            </w:r>
            <w:r>
              <w:rPr>
                <w:rFonts w:ascii="Barlow Condensed" w:hAnsi="Barlow Condensed" w:cs="Arial"/>
                <w:color w:val="000000" w:themeColor="text1"/>
              </w:rPr>
              <w:t>.</w:t>
            </w:r>
            <w:r w:rsidRPr="008A460E">
              <w:rPr>
                <w:rFonts w:ascii="Barlow Condensed" w:hAnsi="Barlow Condensed" w:cs="Arial"/>
                <w:color w:val="0070C0"/>
              </w:rPr>
              <w:t xml:space="preserve"> </w:t>
            </w:r>
          </w:p>
        </w:tc>
      </w:tr>
      <w:tr w:rsidR="008A2681" w:rsidRPr="008A460E" w14:paraId="50149B94" w14:textId="77777777" w:rsidTr="008A2681">
        <w:trPr>
          <w:trHeight w:val="499"/>
        </w:trPr>
        <w:tc>
          <w:tcPr>
            <w:tcW w:w="7370" w:type="dxa"/>
            <w:tcBorders>
              <w:left w:val="nil"/>
              <w:right w:val="nil"/>
            </w:tcBorders>
          </w:tcPr>
          <w:p w14:paraId="0A7832F4"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8. Specifinių (programavimo, duomenų analizės, dirbtinio intelekto naudojimo) įgūdžių trūkumas</w:t>
            </w:r>
            <w:r>
              <w:rPr>
                <w:rFonts w:ascii="Barlow Condensed" w:hAnsi="Barlow Condensed" w:cs="Arial"/>
                <w:color w:val="000000" w:themeColor="text1"/>
              </w:rPr>
              <w:t>.</w:t>
            </w:r>
          </w:p>
        </w:tc>
        <w:tc>
          <w:tcPr>
            <w:tcW w:w="425" w:type="dxa"/>
            <w:tcBorders>
              <w:top w:val="nil"/>
              <w:left w:val="nil"/>
              <w:bottom w:val="nil"/>
              <w:right w:val="nil"/>
            </w:tcBorders>
          </w:tcPr>
          <w:p w14:paraId="40477DC7"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11B10B8B"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8. Klimato kaitos ir globalių veiksnių padariniai didintų NMA darbo krūvį</w:t>
            </w:r>
            <w:r>
              <w:rPr>
                <w:rFonts w:ascii="Barlow Condensed" w:hAnsi="Barlow Condensed" w:cs="Arial"/>
                <w:color w:val="000000" w:themeColor="text1"/>
              </w:rPr>
              <w:t>.</w:t>
            </w:r>
          </w:p>
        </w:tc>
      </w:tr>
      <w:tr w:rsidR="008A2681" w:rsidRPr="008A460E" w14:paraId="15CC0976" w14:textId="77777777" w:rsidTr="008A2681">
        <w:trPr>
          <w:trHeight w:val="835"/>
        </w:trPr>
        <w:tc>
          <w:tcPr>
            <w:tcW w:w="7370" w:type="dxa"/>
            <w:tcBorders>
              <w:left w:val="nil"/>
              <w:right w:val="nil"/>
            </w:tcBorders>
          </w:tcPr>
          <w:p w14:paraId="41A14C91"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9. NMA veikla tam tikrose srityse yra priklausoma nuo vieno pagrindinio tiekėjo (rangovo), o ribotas tiekėjų ratas, dalyvaujantis NMA vykdomuose viešuosiuose pirkimuose, mažina konkurenciją ir lankstumą</w:t>
            </w:r>
            <w:r>
              <w:rPr>
                <w:rFonts w:ascii="Barlow Condensed" w:hAnsi="Barlow Condensed" w:cs="Arial"/>
                <w:color w:val="000000" w:themeColor="text1"/>
              </w:rPr>
              <w:t>.</w:t>
            </w:r>
            <w:r w:rsidRPr="008A460E">
              <w:rPr>
                <w:rFonts w:ascii="Barlow Condensed" w:hAnsi="Barlow Condensed" w:cs="Arial"/>
                <w:color w:val="000000" w:themeColor="text1"/>
              </w:rPr>
              <w:t xml:space="preserve"> </w:t>
            </w:r>
          </w:p>
        </w:tc>
        <w:tc>
          <w:tcPr>
            <w:tcW w:w="425" w:type="dxa"/>
            <w:tcBorders>
              <w:top w:val="nil"/>
              <w:left w:val="nil"/>
              <w:bottom w:val="nil"/>
              <w:right w:val="nil"/>
            </w:tcBorders>
          </w:tcPr>
          <w:p w14:paraId="64031B4F"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663B8E39"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9. Didėjant kibernetinių incidentų ir duomenų saugumo pažeidimų rizikai gali būti sutrikdytas NMA informacinių sistemų veikimas ir paslaugų teikimas</w:t>
            </w:r>
            <w:r>
              <w:rPr>
                <w:rFonts w:ascii="Barlow Condensed" w:hAnsi="Barlow Condensed" w:cs="Arial"/>
                <w:color w:val="000000" w:themeColor="text1"/>
              </w:rPr>
              <w:t>.</w:t>
            </w:r>
            <w:r w:rsidRPr="008A460E">
              <w:rPr>
                <w:rFonts w:ascii="Barlow Condensed" w:hAnsi="Barlow Condensed" w:cs="Arial"/>
                <w:color w:val="000000" w:themeColor="text1"/>
              </w:rPr>
              <w:t xml:space="preserve"> </w:t>
            </w:r>
          </w:p>
        </w:tc>
      </w:tr>
      <w:tr w:rsidR="008A2681" w:rsidRPr="008A460E" w14:paraId="5C319980" w14:textId="77777777" w:rsidTr="008A2681">
        <w:trPr>
          <w:trHeight w:val="983"/>
        </w:trPr>
        <w:tc>
          <w:tcPr>
            <w:tcW w:w="7370" w:type="dxa"/>
            <w:tcBorders>
              <w:left w:val="nil"/>
              <w:right w:val="nil"/>
            </w:tcBorders>
          </w:tcPr>
          <w:p w14:paraId="4F93A4CB" w14:textId="77777777" w:rsidR="008A2681" w:rsidRPr="008A460E" w:rsidRDefault="008A2681" w:rsidP="008A2681">
            <w:pPr>
              <w:rPr>
                <w:rFonts w:ascii="Barlow Condensed" w:hAnsi="Barlow Condensed" w:cs="Arial"/>
                <w:color w:val="000000" w:themeColor="text1"/>
              </w:rPr>
            </w:pPr>
          </w:p>
        </w:tc>
        <w:tc>
          <w:tcPr>
            <w:tcW w:w="425" w:type="dxa"/>
            <w:tcBorders>
              <w:top w:val="nil"/>
              <w:left w:val="nil"/>
              <w:bottom w:val="nil"/>
              <w:right w:val="nil"/>
            </w:tcBorders>
          </w:tcPr>
          <w:p w14:paraId="6E25F109" w14:textId="77777777" w:rsidR="008A2681" w:rsidRPr="008A460E" w:rsidRDefault="008A2681" w:rsidP="008A2681">
            <w:pPr>
              <w:rPr>
                <w:rFonts w:ascii="Barlow Condensed" w:hAnsi="Barlow Condensed" w:cs="Arial"/>
                <w:color w:val="000000" w:themeColor="text1"/>
              </w:rPr>
            </w:pPr>
          </w:p>
        </w:tc>
        <w:tc>
          <w:tcPr>
            <w:tcW w:w="6520" w:type="dxa"/>
            <w:tcBorders>
              <w:left w:val="nil"/>
              <w:right w:val="nil"/>
            </w:tcBorders>
          </w:tcPr>
          <w:p w14:paraId="409CD8AF" w14:textId="77777777" w:rsidR="008A2681" w:rsidRPr="008A460E" w:rsidRDefault="008A2681" w:rsidP="008A2681">
            <w:pPr>
              <w:rPr>
                <w:rFonts w:ascii="Barlow Condensed" w:hAnsi="Barlow Condensed" w:cs="Arial"/>
                <w:color w:val="000000" w:themeColor="text1"/>
              </w:rPr>
            </w:pPr>
            <w:r w:rsidRPr="008A460E">
              <w:rPr>
                <w:rFonts w:ascii="Barlow Condensed" w:hAnsi="Barlow Condensed" w:cs="Arial"/>
                <w:color w:val="000000" w:themeColor="text1"/>
              </w:rPr>
              <w:t>10. Nestabili pasaulinė saugumo situacija (kariniai veiksmai kaimyninėse šalyse) gali didinti nerimą, įtampą darbe, mažinti susikaupimą ir atidumą, didinti kibernetines grėsmes</w:t>
            </w:r>
            <w:r>
              <w:rPr>
                <w:rFonts w:ascii="Barlow Condensed" w:hAnsi="Barlow Condensed" w:cs="Arial"/>
                <w:color w:val="000000" w:themeColor="text1"/>
              </w:rPr>
              <w:t>.</w:t>
            </w:r>
          </w:p>
        </w:tc>
      </w:tr>
    </w:tbl>
    <w:p w14:paraId="3951E8AA" w14:textId="77777777" w:rsidR="00943A4A" w:rsidRDefault="00943A4A">
      <w:pPr>
        <w:rPr>
          <w:rFonts w:ascii="Arial" w:hAnsi="Arial" w:cs="Arial"/>
          <w:b/>
          <w:bCs/>
        </w:rPr>
      </w:pPr>
    </w:p>
    <w:p w14:paraId="3904B93F" w14:textId="75186B5E" w:rsidR="00943A4A" w:rsidRPr="008A460E" w:rsidRDefault="00E35D1D" w:rsidP="00D43A84">
      <w:pPr>
        <w:rPr>
          <w:rFonts w:ascii="Barlow Condensed" w:hAnsi="Barlow Condensed" w:cs="Arial"/>
          <w:b/>
          <w:bCs/>
        </w:rPr>
      </w:pPr>
      <w:r>
        <w:rPr>
          <w:rFonts w:ascii="Barlow Condensed" w:hAnsi="Barlow Condensed" w:cs="Arial"/>
          <w:b/>
          <w:bCs/>
          <w:noProof/>
        </w:rPr>
        <mc:AlternateContent>
          <mc:Choice Requires="wps">
            <w:drawing>
              <wp:anchor distT="0" distB="0" distL="114300" distR="114300" simplePos="0" relativeHeight="251660288" behindDoc="0" locked="0" layoutInCell="1" allowOverlap="1" wp14:anchorId="44DBFD25" wp14:editId="0BBDAFD8">
                <wp:simplePos x="0" y="0"/>
                <wp:positionH relativeFrom="column">
                  <wp:posOffset>3299460</wp:posOffset>
                </wp:positionH>
                <wp:positionV relativeFrom="paragraph">
                  <wp:posOffset>727075</wp:posOffset>
                </wp:positionV>
                <wp:extent cx="2895600" cy="0"/>
                <wp:effectExtent l="0" t="0" r="0" b="0"/>
                <wp:wrapNone/>
                <wp:docPr id="1048743977" name="Straight Connector 1"/>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5560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8pt,57.25pt" to="487.8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" strokecolor="black [3200]">
                <v:stroke joinstyle="miter"/>
              </v:line>
            </w:pict>
          </mc:Fallback>
        </mc:AlternateContent>
      </w:r>
    </w:p>
    <w:sectPr w:rsidR="00943A4A" w:rsidRPr="008A460E" w:rsidSect="008A2681">
      <w:headerReference w:type="default" r:id="rId6"/>
      <w:pgSz w:w="16838" w:h="11906" w:orient="landscape" w:code="9"/>
      <w:pgMar w:top="567" w:right="1701" w:bottom="426"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F0A54" w14:textId="77777777" w:rsidR="00A84ECC" w:rsidRDefault="00A84ECC" w:rsidP="00D0019F">
      <w:pPr>
        <w:spacing w:after="0" w:line="240" w:lineRule="auto"/>
      </w:pPr>
      <w:r>
        <w:separator/>
      </w:r>
    </w:p>
  </w:endnote>
  <w:endnote w:type="continuationSeparator" w:id="0">
    <w:p w14:paraId="50C81060" w14:textId="77777777" w:rsidR="00A84ECC" w:rsidRDefault="00A84ECC" w:rsidP="00D00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Barlow Condensed">
    <w:charset w:val="BA"/>
    <w:family w:val="auto"/>
    <w:pitch w:val="variable"/>
    <w:sig w:usb0="20000007" w:usb1="00000000" w:usb2="00000000" w:usb3="00000000" w:csb0="00000193"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883FD" w14:textId="77777777" w:rsidR="00A84ECC" w:rsidRDefault="00A84ECC" w:rsidP="00D0019F">
      <w:pPr>
        <w:spacing w:after="0" w:line="240" w:lineRule="auto"/>
      </w:pPr>
      <w:r>
        <w:separator/>
      </w:r>
    </w:p>
  </w:footnote>
  <w:footnote w:type="continuationSeparator" w:id="0">
    <w:p w14:paraId="779156D0" w14:textId="77777777" w:rsidR="00A84ECC" w:rsidRDefault="00A84ECC" w:rsidP="00D00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859299"/>
      <w:docPartObj>
        <w:docPartGallery w:val="Page Numbers (Top of Page)"/>
        <w:docPartUnique/>
      </w:docPartObj>
    </w:sdtPr>
    <w:sdtEndPr>
      <w:rPr>
        <w:rFonts w:ascii="Barlow Condensed" w:hAnsi="Barlow Condensed"/>
        <w:color w:val="A6A6A6" w:themeColor="background1" w:themeShade="A6"/>
      </w:rPr>
    </w:sdtEndPr>
    <w:sdtContent>
      <w:p w14:paraId="4A139A7B" w14:textId="2052AEBA" w:rsidR="00D0019F" w:rsidRPr="008A2681" w:rsidRDefault="00D0019F">
        <w:pPr>
          <w:pStyle w:val="Header"/>
          <w:jc w:val="center"/>
          <w:rPr>
            <w:rFonts w:ascii="Barlow Condensed" w:hAnsi="Barlow Condensed"/>
            <w:color w:val="A6A6A6" w:themeColor="background1" w:themeShade="A6"/>
          </w:rPr>
        </w:pPr>
        <w:r w:rsidRPr="008A2681">
          <w:rPr>
            <w:rFonts w:ascii="Barlow Condensed" w:hAnsi="Barlow Condensed"/>
            <w:color w:val="A6A6A6" w:themeColor="background1" w:themeShade="A6"/>
          </w:rPr>
          <w:fldChar w:fldCharType="begin"/>
        </w:r>
        <w:r w:rsidRPr="008A2681">
          <w:rPr>
            <w:rFonts w:ascii="Barlow Condensed" w:hAnsi="Barlow Condensed"/>
            <w:color w:val="A6A6A6" w:themeColor="background1" w:themeShade="A6"/>
          </w:rPr>
          <w:instrText>PAGE   \* MERGEFORMAT</w:instrText>
        </w:r>
        <w:r w:rsidRPr="008A2681">
          <w:rPr>
            <w:rFonts w:ascii="Barlow Condensed" w:hAnsi="Barlow Condensed"/>
            <w:color w:val="A6A6A6" w:themeColor="background1" w:themeShade="A6"/>
          </w:rPr>
          <w:fldChar w:fldCharType="separate"/>
        </w:r>
        <w:r w:rsidRPr="008A2681">
          <w:rPr>
            <w:rFonts w:ascii="Barlow Condensed" w:hAnsi="Barlow Condensed"/>
            <w:color w:val="A6A6A6" w:themeColor="background1" w:themeShade="A6"/>
          </w:rPr>
          <w:t>2</w:t>
        </w:r>
        <w:r w:rsidRPr="008A2681">
          <w:rPr>
            <w:rFonts w:ascii="Barlow Condensed" w:hAnsi="Barlow Condensed"/>
            <w:color w:val="A6A6A6" w:themeColor="background1" w:themeShade="A6"/>
          </w:rPr>
          <w:fldChar w:fldCharType="end"/>
        </w:r>
      </w:p>
    </w:sdtContent>
  </w:sdt>
  <w:p w14:paraId="34A7A4BF" w14:textId="77777777" w:rsidR="00D0019F" w:rsidRDefault="00D001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5F"/>
    <w:rsid w:val="00000943"/>
    <w:rsid w:val="00013DA6"/>
    <w:rsid w:val="0001418C"/>
    <w:rsid w:val="00026F76"/>
    <w:rsid w:val="00031368"/>
    <w:rsid w:val="00035127"/>
    <w:rsid w:val="0003580F"/>
    <w:rsid w:val="000368BD"/>
    <w:rsid w:val="00050B0C"/>
    <w:rsid w:val="000628BE"/>
    <w:rsid w:val="000640E6"/>
    <w:rsid w:val="00071287"/>
    <w:rsid w:val="00072251"/>
    <w:rsid w:val="0008199D"/>
    <w:rsid w:val="00096A8D"/>
    <w:rsid w:val="000A7703"/>
    <w:rsid w:val="000D2A46"/>
    <w:rsid w:val="000E6A0E"/>
    <w:rsid w:val="001278FC"/>
    <w:rsid w:val="00131C5F"/>
    <w:rsid w:val="001450CC"/>
    <w:rsid w:val="001741EC"/>
    <w:rsid w:val="00176A44"/>
    <w:rsid w:val="001932FA"/>
    <w:rsid w:val="00197B9A"/>
    <w:rsid w:val="001A2953"/>
    <w:rsid w:val="001A2C78"/>
    <w:rsid w:val="001A7683"/>
    <w:rsid w:val="001C31B4"/>
    <w:rsid w:val="001C5F15"/>
    <w:rsid w:val="001D226C"/>
    <w:rsid w:val="001D4673"/>
    <w:rsid w:val="00201753"/>
    <w:rsid w:val="0020355E"/>
    <w:rsid w:val="00204103"/>
    <w:rsid w:val="00206EF6"/>
    <w:rsid w:val="002206B3"/>
    <w:rsid w:val="00225D16"/>
    <w:rsid w:val="002444BF"/>
    <w:rsid w:val="00244937"/>
    <w:rsid w:val="00256D3F"/>
    <w:rsid w:val="002608FD"/>
    <w:rsid w:val="002660D3"/>
    <w:rsid w:val="002843BD"/>
    <w:rsid w:val="00294C05"/>
    <w:rsid w:val="002A0C03"/>
    <w:rsid w:val="002A13BB"/>
    <w:rsid w:val="002A3F8A"/>
    <w:rsid w:val="002B393B"/>
    <w:rsid w:val="002B5949"/>
    <w:rsid w:val="002D26C6"/>
    <w:rsid w:val="002D7B09"/>
    <w:rsid w:val="002F0919"/>
    <w:rsid w:val="002F2405"/>
    <w:rsid w:val="002F4295"/>
    <w:rsid w:val="00301F74"/>
    <w:rsid w:val="00315776"/>
    <w:rsid w:val="0034233D"/>
    <w:rsid w:val="0035154C"/>
    <w:rsid w:val="003708E7"/>
    <w:rsid w:val="00372480"/>
    <w:rsid w:val="003963D0"/>
    <w:rsid w:val="003A19DE"/>
    <w:rsid w:val="004007EB"/>
    <w:rsid w:val="0040676A"/>
    <w:rsid w:val="004118A5"/>
    <w:rsid w:val="004157A7"/>
    <w:rsid w:val="004157C8"/>
    <w:rsid w:val="00430FCF"/>
    <w:rsid w:val="00442B5F"/>
    <w:rsid w:val="0044320D"/>
    <w:rsid w:val="00444023"/>
    <w:rsid w:val="004569C2"/>
    <w:rsid w:val="00471A4C"/>
    <w:rsid w:val="00473CF8"/>
    <w:rsid w:val="004759F0"/>
    <w:rsid w:val="0048331E"/>
    <w:rsid w:val="004852C5"/>
    <w:rsid w:val="00485896"/>
    <w:rsid w:val="004943A5"/>
    <w:rsid w:val="004A2BA8"/>
    <w:rsid w:val="004A51FB"/>
    <w:rsid w:val="004D2E4C"/>
    <w:rsid w:val="004E553B"/>
    <w:rsid w:val="00517120"/>
    <w:rsid w:val="00522D6A"/>
    <w:rsid w:val="00540197"/>
    <w:rsid w:val="00550620"/>
    <w:rsid w:val="00551994"/>
    <w:rsid w:val="00577D2B"/>
    <w:rsid w:val="00581E24"/>
    <w:rsid w:val="00582F9F"/>
    <w:rsid w:val="00592515"/>
    <w:rsid w:val="00597FD2"/>
    <w:rsid w:val="005A377C"/>
    <w:rsid w:val="005C304F"/>
    <w:rsid w:val="005C430D"/>
    <w:rsid w:val="005D7DA2"/>
    <w:rsid w:val="005E4801"/>
    <w:rsid w:val="005E4B8C"/>
    <w:rsid w:val="005F3BE1"/>
    <w:rsid w:val="00602D1A"/>
    <w:rsid w:val="0060315A"/>
    <w:rsid w:val="00613369"/>
    <w:rsid w:val="00640041"/>
    <w:rsid w:val="00642E56"/>
    <w:rsid w:val="0065177F"/>
    <w:rsid w:val="00660D6A"/>
    <w:rsid w:val="00664667"/>
    <w:rsid w:val="00674B26"/>
    <w:rsid w:val="00674EE3"/>
    <w:rsid w:val="006856A2"/>
    <w:rsid w:val="00687F8B"/>
    <w:rsid w:val="00691757"/>
    <w:rsid w:val="00692515"/>
    <w:rsid w:val="006A7032"/>
    <w:rsid w:val="006B1137"/>
    <w:rsid w:val="006D184A"/>
    <w:rsid w:val="006D53B1"/>
    <w:rsid w:val="006D71B5"/>
    <w:rsid w:val="00710EC8"/>
    <w:rsid w:val="00712A70"/>
    <w:rsid w:val="00731CEB"/>
    <w:rsid w:val="00732D84"/>
    <w:rsid w:val="00734A50"/>
    <w:rsid w:val="00734AE5"/>
    <w:rsid w:val="0074666B"/>
    <w:rsid w:val="00763E1C"/>
    <w:rsid w:val="00765ED6"/>
    <w:rsid w:val="00770191"/>
    <w:rsid w:val="007818CC"/>
    <w:rsid w:val="00784C5E"/>
    <w:rsid w:val="00795E39"/>
    <w:rsid w:val="00796DC2"/>
    <w:rsid w:val="007A5CD3"/>
    <w:rsid w:val="007C2A81"/>
    <w:rsid w:val="007C6B46"/>
    <w:rsid w:val="007E2413"/>
    <w:rsid w:val="007E6C3E"/>
    <w:rsid w:val="007F439E"/>
    <w:rsid w:val="008127B4"/>
    <w:rsid w:val="008146CC"/>
    <w:rsid w:val="008179C5"/>
    <w:rsid w:val="00824FF6"/>
    <w:rsid w:val="008317DC"/>
    <w:rsid w:val="0083237B"/>
    <w:rsid w:val="00851AB2"/>
    <w:rsid w:val="00853F5C"/>
    <w:rsid w:val="008557DA"/>
    <w:rsid w:val="00864A41"/>
    <w:rsid w:val="0086501C"/>
    <w:rsid w:val="008710DE"/>
    <w:rsid w:val="008719E1"/>
    <w:rsid w:val="008800FE"/>
    <w:rsid w:val="00880A7A"/>
    <w:rsid w:val="00882AAB"/>
    <w:rsid w:val="008A10C8"/>
    <w:rsid w:val="008A2681"/>
    <w:rsid w:val="008A460E"/>
    <w:rsid w:val="008B2D71"/>
    <w:rsid w:val="008C2892"/>
    <w:rsid w:val="008C4063"/>
    <w:rsid w:val="008C63AA"/>
    <w:rsid w:val="008C74B4"/>
    <w:rsid w:val="008E6BFE"/>
    <w:rsid w:val="00910E54"/>
    <w:rsid w:val="0091769B"/>
    <w:rsid w:val="00927747"/>
    <w:rsid w:val="009335BD"/>
    <w:rsid w:val="00942340"/>
    <w:rsid w:val="009424D5"/>
    <w:rsid w:val="00943A4A"/>
    <w:rsid w:val="009600FF"/>
    <w:rsid w:val="0096562C"/>
    <w:rsid w:val="0097622F"/>
    <w:rsid w:val="009762F0"/>
    <w:rsid w:val="00981EBE"/>
    <w:rsid w:val="009901A6"/>
    <w:rsid w:val="00995E47"/>
    <w:rsid w:val="009B3110"/>
    <w:rsid w:val="009B3C2F"/>
    <w:rsid w:val="009B5644"/>
    <w:rsid w:val="009B6BD5"/>
    <w:rsid w:val="009B6BF0"/>
    <w:rsid w:val="009C0C5A"/>
    <w:rsid w:val="009C3884"/>
    <w:rsid w:val="009C5926"/>
    <w:rsid w:val="009C7C94"/>
    <w:rsid w:val="009D6A04"/>
    <w:rsid w:val="00A270D6"/>
    <w:rsid w:val="00A31CC7"/>
    <w:rsid w:val="00A37AA5"/>
    <w:rsid w:val="00A5150E"/>
    <w:rsid w:val="00A54129"/>
    <w:rsid w:val="00A56785"/>
    <w:rsid w:val="00A714E2"/>
    <w:rsid w:val="00A75CF6"/>
    <w:rsid w:val="00A75F0F"/>
    <w:rsid w:val="00A84B6D"/>
    <w:rsid w:val="00A84ECC"/>
    <w:rsid w:val="00AA003E"/>
    <w:rsid w:val="00AA2B73"/>
    <w:rsid w:val="00AA7CF5"/>
    <w:rsid w:val="00AB33B7"/>
    <w:rsid w:val="00AC30FA"/>
    <w:rsid w:val="00AE7367"/>
    <w:rsid w:val="00AF1C67"/>
    <w:rsid w:val="00B2274D"/>
    <w:rsid w:val="00B23073"/>
    <w:rsid w:val="00B3429B"/>
    <w:rsid w:val="00B43623"/>
    <w:rsid w:val="00B5283D"/>
    <w:rsid w:val="00B6032C"/>
    <w:rsid w:val="00B60D08"/>
    <w:rsid w:val="00B722BE"/>
    <w:rsid w:val="00B87F4B"/>
    <w:rsid w:val="00B90F14"/>
    <w:rsid w:val="00B93AFE"/>
    <w:rsid w:val="00BA153D"/>
    <w:rsid w:val="00BB0D77"/>
    <w:rsid w:val="00BC2A9F"/>
    <w:rsid w:val="00BE4A54"/>
    <w:rsid w:val="00BE6933"/>
    <w:rsid w:val="00BF6FC5"/>
    <w:rsid w:val="00C03688"/>
    <w:rsid w:val="00C037B8"/>
    <w:rsid w:val="00C11F27"/>
    <w:rsid w:val="00C1650C"/>
    <w:rsid w:val="00C21F78"/>
    <w:rsid w:val="00C4746D"/>
    <w:rsid w:val="00C55543"/>
    <w:rsid w:val="00C63A3C"/>
    <w:rsid w:val="00C65A82"/>
    <w:rsid w:val="00C71E35"/>
    <w:rsid w:val="00C747EC"/>
    <w:rsid w:val="00C74CEA"/>
    <w:rsid w:val="00C90C31"/>
    <w:rsid w:val="00C946E8"/>
    <w:rsid w:val="00CA496C"/>
    <w:rsid w:val="00CA74C7"/>
    <w:rsid w:val="00CB188F"/>
    <w:rsid w:val="00CB3EB3"/>
    <w:rsid w:val="00CE201E"/>
    <w:rsid w:val="00CE5BDF"/>
    <w:rsid w:val="00CF11AE"/>
    <w:rsid w:val="00D0007B"/>
    <w:rsid w:val="00D0019F"/>
    <w:rsid w:val="00D243E6"/>
    <w:rsid w:val="00D3027C"/>
    <w:rsid w:val="00D30887"/>
    <w:rsid w:val="00D30FDD"/>
    <w:rsid w:val="00D43A84"/>
    <w:rsid w:val="00D43BBB"/>
    <w:rsid w:val="00D61CE2"/>
    <w:rsid w:val="00D61E9F"/>
    <w:rsid w:val="00D70A6E"/>
    <w:rsid w:val="00D77671"/>
    <w:rsid w:val="00D81EE4"/>
    <w:rsid w:val="00D9763E"/>
    <w:rsid w:val="00DA131F"/>
    <w:rsid w:val="00DB0524"/>
    <w:rsid w:val="00DB3BBC"/>
    <w:rsid w:val="00DC2444"/>
    <w:rsid w:val="00DE03E8"/>
    <w:rsid w:val="00DF6B12"/>
    <w:rsid w:val="00E13CE7"/>
    <w:rsid w:val="00E2753D"/>
    <w:rsid w:val="00E35D1D"/>
    <w:rsid w:val="00E50330"/>
    <w:rsid w:val="00E63D31"/>
    <w:rsid w:val="00E75BC2"/>
    <w:rsid w:val="00E855AA"/>
    <w:rsid w:val="00E91266"/>
    <w:rsid w:val="00EA228F"/>
    <w:rsid w:val="00EA54F0"/>
    <w:rsid w:val="00EC2F7A"/>
    <w:rsid w:val="00EC7B39"/>
    <w:rsid w:val="00ED582F"/>
    <w:rsid w:val="00EE61E1"/>
    <w:rsid w:val="00EF0D44"/>
    <w:rsid w:val="00EF2765"/>
    <w:rsid w:val="00F04E52"/>
    <w:rsid w:val="00F1318F"/>
    <w:rsid w:val="00F136A8"/>
    <w:rsid w:val="00F30C65"/>
    <w:rsid w:val="00F35C3C"/>
    <w:rsid w:val="00F44124"/>
    <w:rsid w:val="00F702F3"/>
    <w:rsid w:val="00F7750A"/>
    <w:rsid w:val="00F83C37"/>
    <w:rsid w:val="00F84A2A"/>
    <w:rsid w:val="00FA3AF8"/>
    <w:rsid w:val="00FB43B2"/>
    <w:rsid w:val="00FC767D"/>
    <w:rsid w:val="00FD22FE"/>
    <w:rsid w:val="00FE1CAE"/>
    <w:rsid w:val="083242F0"/>
    <w:rsid w:val="1362EAB8"/>
    <w:rsid w:val="15DB3F84"/>
    <w:rsid w:val="21FF5000"/>
    <w:rsid w:val="2681AC51"/>
    <w:rsid w:val="32A43AA4"/>
    <w:rsid w:val="33B801F3"/>
    <w:rsid w:val="35B87708"/>
    <w:rsid w:val="3CD98E29"/>
    <w:rsid w:val="4136FFBF"/>
    <w:rsid w:val="4B3F84F9"/>
    <w:rsid w:val="58D4C567"/>
    <w:rsid w:val="59E4B143"/>
    <w:rsid w:val="5CB16644"/>
    <w:rsid w:val="5CBB2C61"/>
    <w:rsid w:val="5CCA1E77"/>
    <w:rsid w:val="7291C4C2"/>
    <w:rsid w:val="72D6393F"/>
    <w:rsid w:val="763475F8"/>
    <w:rsid w:val="77E5D823"/>
    <w:rsid w:val="7C219266"/>
    <w:rsid w:val="7F5688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10A9"/>
  <w15:chartTrackingRefBased/>
  <w15:docId w15:val="{38EC784C-D0D3-41FA-AFB3-CF29229E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C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C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C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C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C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C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C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C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C5F"/>
    <w:rPr>
      <w:rFonts w:eastAsiaTheme="majorEastAsia" w:cstheme="majorBidi"/>
      <w:color w:val="272727" w:themeColor="text1" w:themeTint="D8"/>
    </w:rPr>
  </w:style>
  <w:style w:type="paragraph" w:styleId="Title">
    <w:name w:val="Title"/>
    <w:basedOn w:val="Normal"/>
    <w:next w:val="Normal"/>
    <w:link w:val="TitleChar"/>
    <w:uiPriority w:val="10"/>
    <w:qFormat/>
    <w:rsid w:val="00131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C5F"/>
    <w:pPr>
      <w:spacing w:before="160"/>
      <w:jc w:val="center"/>
    </w:pPr>
    <w:rPr>
      <w:i/>
      <w:iCs/>
      <w:color w:val="404040" w:themeColor="text1" w:themeTint="BF"/>
    </w:rPr>
  </w:style>
  <w:style w:type="character" w:customStyle="1" w:styleId="QuoteChar">
    <w:name w:val="Quote Char"/>
    <w:basedOn w:val="DefaultParagraphFont"/>
    <w:link w:val="Quote"/>
    <w:uiPriority w:val="29"/>
    <w:rsid w:val="00131C5F"/>
    <w:rPr>
      <w:i/>
      <w:iCs/>
      <w:color w:val="404040" w:themeColor="text1" w:themeTint="BF"/>
    </w:rPr>
  </w:style>
  <w:style w:type="paragraph" w:styleId="ListParagraph">
    <w:name w:val="List Paragraph"/>
    <w:basedOn w:val="Normal"/>
    <w:uiPriority w:val="34"/>
    <w:qFormat/>
    <w:rsid w:val="00131C5F"/>
    <w:pPr>
      <w:ind w:left="720"/>
      <w:contextualSpacing/>
    </w:pPr>
  </w:style>
  <w:style w:type="character" w:styleId="IntenseEmphasis">
    <w:name w:val="Intense Emphasis"/>
    <w:basedOn w:val="DefaultParagraphFont"/>
    <w:uiPriority w:val="21"/>
    <w:qFormat/>
    <w:rsid w:val="00131C5F"/>
    <w:rPr>
      <w:i/>
      <w:iCs/>
      <w:color w:val="0F4761" w:themeColor="accent1" w:themeShade="BF"/>
    </w:rPr>
  </w:style>
  <w:style w:type="paragraph" w:styleId="IntenseQuote">
    <w:name w:val="Intense Quote"/>
    <w:basedOn w:val="Normal"/>
    <w:next w:val="Normal"/>
    <w:link w:val="IntenseQuoteChar"/>
    <w:uiPriority w:val="30"/>
    <w:qFormat/>
    <w:rsid w:val="00131C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C5F"/>
    <w:rPr>
      <w:i/>
      <w:iCs/>
      <w:color w:val="0F4761" w:themeColor="accent1" w:themeShade="BF"/>
    </w:rPr>
  </w:style>
  <w:style w:type="character" w:styleId="IntenseReference">
    <w:name w:val="Intense Reference"/>
    <w:basedOn w:val="DefaultParagraphFont"/>
    <w:uiPriority w:val="32"/>
    <w:qFormat/>
    <w:rsid w:val="00131C5F"/>
    <w:rPr>
      <w:b/>
      <w:bCs/>
      <w:smallCaps/>
      <w:color w:val="0F4761" w:themeColor="accent1" w:themeShade="BF"/>
      <w:spacing w:val="5"/>
    </w:rPr>
  </w:style>
  <w:style w:type="table" w:styleId="TableGrid">
    <w:name w:val="Table Grid"/>
    <w:basedOn w:val="TableNormal"/>
    <w:uiPriority w:val="39"/>
    <w:rsid w:val="00AA0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9763E"/>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037B8"/>
    <w:rPr>
      <w:b/>
      <w:bCs/>
    </w:rPr>
  </w:style>
  <w:style w:type="character" w:customStyle="1" w:styleId="CommentSubjectChar">
    <w:name w:val="Comment Subject Char"/>
    <w:basedOn w:val="CommentTextChar"/>
    <w:link w:val="CommentSubject"/>
    <w:uiPriority w:val="99"/>
    <w:semiHidden/>
    <w:rsid w:val="00C037B8"/>
    <w:rPr>
      <w:b/>
      <w:bCs/>
      <w:sz w:val="20"/>
      <w:szCs w:val="20"/>
    </w:rPr>
  </w:style>
  <w:style w:type="paragraph" w:styleId="Header">
    <w:name w:val="header"/>
    <w:basedOn w:val="Normal"/>
    <w:link w:val="HeaderChar"/>
    <w:uiPriority w:val="99"/>
    <w:unhideWhenUsed/>
    <w:rsid w:val="00D0019F"/>
    <w:pPr>
      <w:tabs>
        <w:tab w:val="center" w:pos="4819"/>
        <w:tab w:val="right" w:pos="9638"/>
      </w:tabs>
      <w:spacing w:after="0" w:line="240" w:lineRule="auto"/>
    </w:pPr>
  </w:style>
  <w:style w:type="character" w:customStyle="1" w:styleId="HeaderChar">
    <w:name w:val="Header Char"/>
    <w:basedOn w:val="DefaultParagraphFont"/>
    <w:link w:val="Header"/>
    <w:uiPriority w:val="99"/>
    <w:rsid w:val="00D0019F"/>
  </w:style>
  <w:style w:type="paragraph" w:styleId="Footer">
    <w:name w:val="footer"/>
    <w:basedOn w:val="Normal"/>
    <w:link w:val="FooterChar"/>
    <w:uiPriority w:val="99"/>
    <w:unhideWhenUsed/>
    <w:rsid w:val="00D0019F"/>
    <w:pPr>
      <w:tabs>
        <w:tab w:val="center" w:pos="4819"/>
        <w:tab w:val="right" w:pos="9638"/>
      </w:tabs>
      <w:spacing w:after="0" w:line="240" w:lineRule="auto"/>
    </w:pPr>
  </w:style>
  <w:style w:type="character" w:customStyle="1" w:styleId="FooterChar">
    <w:name w:val="Footer Char"/>
    <w:basedOn w:val="DefaultParagraphFont"/>
    <w:link w:val="Footer"/>
    <w:uiPriority w:val="99"/>
    <w:rsid w:val="00D00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5894</Words>
  <Characters>3361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 Jėckaitė-Juozaponienė</dc:creator>
  <cp:keywords/>
  <dc:description/>
  <cp:lastModifiedBy>Audrius Pravdzinskas</cp:lastModifiedBy>
  <cp:revision>10</cp:revision>
  <cp:lastPrinted>2026-02-26T15:26:00Z</cp:lastPrinted>
  <dcterms:created xsi:type="dcterms:W3CDTF">2026-02-25T12:48:00Z</dcterms:created>
  <dcterms:modified xsi:type="dcterms:W3CDTF">2026-06-29T14:20:00Z</dcterms:modified>
</cp:coreProperties>
</file>