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C0E0" w14:textId="77777777" w:rsidR="00312C29" w:rsidRPr="00312C29" w:rsidRDefault="00312C29" w:rsidP="00FE0273">
      <w:pPr>
        <w:rPr>
          <w:rFonts w:ascii="Arial" w:hAnsi="Arial" w:cs="Arial"/>
          <w:b/>
          <w:bCs/>
        </w:rPr>
      </w:pPr>
      <w:r w:rsidRPr="00312C29">
        <w:rPr>
          <w:rFonts w:ascii="Arial" w:hAnsi="Arial" w:cs="Arial"/>
          <w:b/>
          <w:bCs/>
        </w:rPr>
        <w:t xml:space="preserve">Pareiškėjo, teikiančio paraišką </w:t>
      </w:r>
      <w:r w:rsidRPr="00312C29">
        <w:rPr>
          <w:rFonts w:ascii="Arial" w:hAnsi="Arial" w:cs="Arial"/>
          <w:b/>
          <w:bCs/>
        </w:rPr>
        <w:t>pagal SP</w:t>
      </w:r>
      <w:r w:rsidRPr="00312C29">
        <w:rPr>
          <w:rFonts w:ascii="Arial" w:hAnsi="Arial" w:cs="Arial"/>
          <w:b/>
          <w:bCs/>
          <w:color w:val="FF0000"/>
        </w:rPr>
        <w:t xml:space="preserve"> </w:t>
      </w:r>
      <w:r w:rsidRPr="00312C29">
        <w:rPr>
          <w:rFonts w:ascii="Arial" w:hAnsi="Arial" w:cs="Arial"/>
          <w:b/>
          <w:bCs/>
        </w:rPr>
        <w:t xml:space="preserve">priemonę „Investicijos į vyno sektorių“ </w:t>
      </w:r>
      <w:r w:rsidRPr="00312C29">
        <w:rPr>
          <w:rFonts w:ascii="Arial" w:hAnsi="Arial" w:cs="Arial"/>
          <w:b/>
          <w:bCs/>
        </w:rPr>
        <w:t>įsipareigojimai:</w:t>
      </w:r>
    </w:p>
    <w:p w14:paraId="7D004150" w14:textId="1850DC0E" w:rsidR="00FE0273" w:rsidRPr="00312C29" w:rsidRDefault="00FE0273" w:rsidP="00FE0273">
      <w:pPr>
        <w:rPr>
          <w:rFonts w:ascii="Arial" w:hAnsi="Arial" w:cs="Arial"/>
        </w:rPr>
      </w:pPr>
      <w:r w:rsidRPr="00312C29">
        <w:rPr>
          <w:rFonts w:ascii="Arial" w:hAnsi="Arial" w:cs="Arial"/>
        </w:rPr>
        <w:t>Pareiškėjas (ir partneris) įsipareigoja projekto vykdymo metu ir projekto kontrolės laikotarpiu, kuris yra 3 metai nuo galutinio paramos lėšų išmokėjimo, per kurį tikrinama, kaip paramos gavėjas laikosi paramos paraiškoje nustatytų įsipareigojimų:</w:t>
      </w:r>
    </w:p>
    <w:p w14:paraId="0DD68942" w14:textId="5C28AEEF" w:rsidR="00FE0273" w:rsidRDefault="00FE0273" w:rsidP="00312C29">
      <w:pPr>
        <w:pStyle w:val="ListParagraph"/>
        <w:numPr>
          <w:ilvl w:val="0"/>
          <w:numId w:val="1"/>
        </w:numPr>
        <w:ind w:left="0" w:firstLine="567"/>
        <w:rPr>
          <w:rFonts w:ascii="Arial" w:hAnsi="Arial" w:cs="Arial"/>
        </w:rPr>
      </w:pPr>
      <w:bookmarkStart w:id="0" w:name="part_2b2fa5e19628489080381055b213d2ba"/>
      <w:bookmarkEnd w:id="0"/>
      <w:r w:rsidRPr="00312C29">
        <w:rPr>
          <w:rFonts w:ascii="Arial" w:hAnsi="Arial" w:cs="Arial"/>
        </w:rPr>
        <w:t>nenutraukti ar neperkelti gamybinės veiklos už Lietuvos teritorijos ribų; nekeisti projekto įgyvendinimo vietos nesuderinęs su Mokėjimo agentūra ir sąlygų (vykdyti numatytą veiklą) nuo sprendimo skirti paramą priėmimo iki projekto kontrolės laikotarpio pabaigos. Projekto finansavimo šaltinių keitimas, suderinus su Mokėjimo agentūra, galimas iki sprendimo skirti paramą priėmimo. Po sprendimo skirti paramą priėmimo iki projekto įgyvendinimo laikotarpio pabaigos projekto finansavimo šaltinius ir (arba) būdą keisti galima, tačiau tik tuo atveju, jei keičiama finansavimą skirianti finansų įmonė arba kredito įstaiga, arba investuojama didesnė, lyginant su paraiškoje nurodyta, nuosavų lėšų dalis;</w:t>
      </w:r>
    </w:p>
    <w:p w14:paraId="6759F319" w14:textId="77777777" w:rsidR="00312C29" w:rsidRPr="00312C29" w:rsidRDefault="00312C29" w:rsidP="00312C29">
      <w:pPr>
        <w:pStyle w:val="ListParagraph"/>
        <w:ind w:left="0" w:firstLine="567"/>
        <w:rPr>
          <w:rFonts w:ascii="Arial" w:hAnsi="Arial" w:cs="Arial"/>
        </w:rPr>
      </w:pPr>
    </w:p>
    <w:p w14:paraId="7A5C71BB" w14:textId="1FCBFB91" w:rsidR="00FE0273" w:rsidRPr="00312C29" w:rsidRDefault="00FE0273" w:rsidP="00312C29">
      <w:pPr>
        <w:pStyle w:val="ListParagraph"/>
        <w:numPr>
          <w:ilvl w:val="0"/>
          <w:numId w:val="1"/>
        </w:numPr>
        <w:ind w:left="0" w:firstLine="567"/>
        <w:rPr>
          <w:rFonts w:ascii="Arial" w:hAnsi="Arial" w:cs="Arial"/>
        </w:rPr>
      </w:pPr>
      <w:bookmarkStart w:id="1" w:name="part_16458d1f05f6452ea808aed6c3ad6cb4"/>
      <w:bookmarkEnd w:id="1"/>
      <w:r w:rsidRPr="00312C29">
        <w:rPr>
          <w:rFonts w:ascii="Arial" w:hAnsi="Arial" w:cs="Arial"/>
        </w:rPr>
        <w:t>nepakeisti infrastruktūros objekto ar jo dalies nuosavybės teisių; neparduoti ir kitaip neperleisti kitam asmeniui už paramos lėšas įgyto turto nuo sprendimo skirti paramą priėmimo iki projekto kontrolės laikotarpio pabaigos. Leidimą įkeisti turtą finansų įmonėms arba kredito įstaigoms Mokėjimo agentūra gali suteikti tik tiems paramos gavėjams, kurie paramos paraiškoje finansų įmonės ar kredito įstaigos paskolą įvardijo kaip vieną iš projekto finansavimo šaltinių. Mokėjimo agentūros sprendimu paramos gavėjui gali būti leista įkeisti paramos lėšomis įsigytą turtą tik tai finansų įmonei arba kredito įstaigai, kuri suteikė paskolą projektui įgyvendinti. Įkeičiamas turtas turi būti skirtas paskolos, kuria finansuojamas projekto įgyvendinimas, grąžinimui užtikrinti;</w:t>
      </w:r>
    </w:p>
    <w:p w14:paraId="4783FB15" w14:textId="2CD72DC4" w:rsidR="00FE0273" w:rsidRPr="00312C29" w:rsidRDefault="00FE0273" w:rsidP="00312C29">
      <w:pPr>
        <w:pStyle w:val="ListParagraph"/>
        <w:numPr>
          <w:ilvl w:val="0"/>
          <w:numId w:val="1"/>
        </w:numPr>
        <w:ind w:left="0" w:firstLine="567"/>
        <w:rPr>
          <w:rFonts w:ascii="Arial" w:hAnsi="Arial" w:cs="Arial"/>
        </w:rPr>
      </w:pPr>
      <w:bookmarkStart w:id="2" w:name="part_b3c810900689462788706a5cef836f9e"/>
      <w:bookmarkEnd w:id="2"/>
      <w:r w:rsidRPr="00312C29">
        <w:rPr>
          <w:rFonts w:ascii="Arial" w:hAnsi="Arial" w:cs="Arial"/>
        </w:rPr>
        <w:t>nepakeisti veiklos pobūdžio, tikslų ar įgyvendinimo sąlygų, kai tokie veiksmai pakenkia pradiniams projekto tikslams;</w:t>
      </w:r>
    </w:p>
    <w:p w14:paraId="2D44410D" w14:textId="5603945D" w:rsidR="00FE0273" w:rsidRPr="00312C29" w:rsidRDefault="00FE0273" w:rsidP="00312C29">
      <w:pPr>
        <w:pStyle w:val="ListParagraph"/>
        <w:numPr>
          <w:ilvl w:val="0"/>
          <w:numId w:val="1"/>
        </w:numPr>
        <w:ind w:left="0" w:firstLine="567"/>
        <w:rPr>
          <w:rFonts w:ascii="Arial" w:hAnsi="Arial" w:cs="Arial"/>
        </w:rPr>
      </w:pPr>
      <w:bookmarkStart w:id="3" w:name="part_3f4212a60b1b4057bae180bf5824d640"/>
      <w:bookmarkEnd w:id="3"/>
      <w:r w:rsidRPr="00312C29">
        <w:rPr>
          <w:rFonts w:ascii="Arial" w:hAnsi="Arial" w:cs="Arial"/>
        </w:rPr>
        <w:t>tvarkyti buhalterinę apskaitą pagal Lietuvos Respublikos teisės aktų reikalavimus visą projekto įgyvendinimo ir kontrolės laikotarpį ir nuo paramos paraiškos pateikimo dienos iki projekto kontrolės laikotarpio pabaigos užtikrinti, kad su projektu susijusių buhalterinių operacijų įrašai būtų atskiriami nuo kitų, įprastinių paramos gavėjo buhalterinių operacijų;</w:t>
      </w:r>
    </w:p>
    <w:p w14:paraId="2E806332" w14:textId="625F9DA8" w:rsidR="00FE0273" w:rsidRPr="00312C29" w:rsidRDefault="00FE0273" w:rsidP="00312C29">
      <w:pPr>
        <w:pStyle w:val="ListParagraph"/>
        <w:numPr>
          <w:ilvl w:val="0"/>
          <w:numId w:val="1"/>
        </w:numPr>
        <w:ind w:left="0" w:firstLine="567"/>
        <w:rPr>
          <w:rFonts w:ascii="Arial" w:hAnsi="Arial" w:cs="Arial"/>
        </w:rPr>
      </w:pPr>
      <w:bookmarkStart w:id="4" w:name="part_6d4d1270e88e4b319802c657189de116"/>
      <w:bookmarkEnd w:id="4"/>
      <w:r w:rsidRPr="00312C29">
        <w:rPr>
          <w:rFonts w:ascii="Arial" w:hAnsi="Arial" w:cs="Arial"/>
        </w:rPr>
        <w:t>sudaryti sąlygas asmenims, turintiems teisę audituoti ir (ar) kontroliuoti, tikrinti, kaip yra vykdoma veikla, laikomasi sąlygų, už ką buvo skirta kompensacinė išmoka, kaip yra vykdomas projektas ir (ar) kaip vykdoma veikla po lėšų projektui įgyvendinti skyrimo ir (ar) projekto įgyvendinimo pabaigos;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ir reikalavimų, kaip yra vykdomas projektas ir veikla, kuriai buvo skirta parama, po sprendimo skirti paramą priėmimo dienos iki projekto kontrolės laikotarpio pabaigos;</w:t>
      </w:r>
    </w:p>
    <w:p w14:paraId="0E6A35FB" w14:textId="09302920" w:rsidR="00FE0273" w:rsidRPr="00312C29" w:rsidRDefault="00FE0273" w:rsidP="00312C29">
      <w:pPr>
        <w:pStyle w:val="ListParagraph"/>
        <w:numPr>
          <w:ilvl w:val="0"/>
          <w:numId w:val="1"/>
        </w:numPr>
        <w:ind w:left="0" w:firstLine="567"/>
        <w:rPr>
          <w:rFonts w:ascii="Arial" w:hAnsi="Arial" w:cs="Arial"/>
        </w:rPr>
      </w:pPr>
      <w:bookmarkStart w:id="5" w:name="part_0fe6339f0ea34dd1a97ca400a44aa99e"/>
      <w:bookmarkEnd w:id="5"/>
      <w:r w:rsidRPr="00312C29">
        <w:rPr>
          <w:rFonts w:ascii="Arial" w:hAnsi="Arial" w:cs="Arial"/>
        </w:rPr>
        <w:lastRenderedPageBreak/>
        <w:t>dalyvauti Mokėjimo agentūros organizuojamose apklausose, teikti visą informaciją ir duomenis, reikalingus statistikos tikslams ir Strateginio plano įgyvendinimo stebėsenai bei reikalingiems vertinimams atlikti;</w:t>
      </w:r>
    </w:p>
    <w:p w14:paraId="1BA5963C" w14:textId="17A6641B" w:rsidR="00FE0273" w:rsidRPr="00312C29" w:rsidRDefault="00FE0273" w:rsidP="00312C29">
      <w:pPr>
        <w:pStyle w:val="ListParagraph"/>
        <w:numPr>
          <w:ilvl w:val="0"/>
          <w:numId w:val="1"/>
        </w:numPr>
        <w:ind w:left="0" w:firstLine="567"/>
        <w:rPr>
          <w:rFonts w:ascii="Arial" w:hAnsi="Arial" w:cs="Arial"/>
        </w:rPr>
      </w:pPr>
      <w:bookmarkStart w:id="6" w:name="part_5dae2792d7914e1da1e52673f2c5f87b"/>
      <w:bookmarkEnd w:id="6"/>
      <w:r w:rsidRPr="00312C29">
        <w:rPr>
          <w:rFonts w:ascii="Arial" w:hAnsi="Arial" w:cs="Arial"/>
        </w:rPr>
        <w:t>užtikrinti, kad įgytas materialusis ir nematerialusis turtas bus naudojamas pagal pobūdį, tikslus ir paskirtį;</w:t>
      </w:r>
    </w:p>
    <w:p w14:paraId="3A812A2E" w14:textId="655B0B1D" w:rsidR="00FE0273" w:rsidRPr="00312C29" w:rsidRDefault="00FE0273" w:rsidP="00312C29">
      <w:pPr>
        <w:pStyle w:val="ListParagraph"/>
        <w:numPr>
          <w:ilvl w:val="0"/>
          <w:numId w:val="1"/>
        </w:numPr>
        <w:ind w:left="0" w:firstLine="567"/>
        <w:rPr>
          <w:rFonts w:ascii="Arial" w:hAnsi="Arial" w:cs="Arial"/>
        </w:rPr>
      </w:pPr>
      <w:bookmarkStart w:id="7" w:name="part_6e4b2dd3391b4978ac240ecc8b414005"/>
      <w:bookmarkEnd w:id="7"/>
      <w:r w:rsidRPr="00312C29">
        <w:rPr>
          <w:rFonts w:ascii="Arial" w:hAnsi="Arial" w:cs="Arial"/>
        </w:rPr>
        <w:t>užtikrinti, kad įgytas materialusis ir nematerialusis turtas liks paramos gavėjo nuosavybė ir turtas iki kontrolės laikotarpio pabaigos;</w:t>
      </w:r>
    </w:p>
    <w:p w14:paraId="083BEAE6" w14:textId="70C65749" w:rsidR="00FE0273" w:rsidRPr="00312C29" w:rsidRDefault="00FE0273" w:rsidP="00312C29">
      <w:pPr>
        <w:pStyle w:val="ListParagraph"/>
        <w:numPr>
          <w:ilvl w:val="0"/>
          <w:numId w:val="1"/>
        </w:numPr>
        <w:ind w:left="0" w:firstLine="567"/>
        <w:rPr>
          <w:rFonts w:ascii="Arial" w:hAnsi="Arial" w:cs="Arial"/>
        </w:rPr>
      </w:pPr>
      <w:bookmarkStart w:id="8" w:name="part_9061a5b1d1fc41278a215979aec77c6a"/>
      <w:bookmarkEnd w:id="8"/>
      <w:r w:rsidRPr="00312C29">
        <w:rPr>
          <w:rFonts w:ascii="Arial" w:hAnsi="Arial" w:cs="Arial"/>
        </w:rPr>
        <w:t>užtikrinti, kad išperkamąja (finansine) nuoma įsigytas turtas taps paramos gavėjo nuosavybe iki projekto įgyvendinimo pabaigos. Įsigyjamojo turto dalis, pagal finansinės išperkamosios nuomos sutartį, neapmokėta iki projekto įgyvendinimo pabaigos, paramos lėšomis nefinansuojama;</w:t>
      </w:r>
    </w:p>
    <w:p w14:paraId="7DAF3844" w14:textId="040F801D" w:rsidR="00FE0273" w:rsidRPr="00312C29" w:rsidRDefault="00FE0273" w:rsidP="00312C29">
      <w:pPr>
        <w:pStyle w:val="ListParagraph"/>
        <w:numPr>
          <w:ilvl w:val="0"/>
          <w:numId w:val="1"/>
        </w:numPr>
        <w:ind w:left="0" w:firstLine="567"/>
        <w:rPr>
          <w:rFonts w:ascii="Arial" w:hAnsi="Arial" w:cs="Arial"/>
        </w:rPr>
      </w:pPr>
      <w:bookmarkStart w:id="9" w:name="part_52d00d7c688f4c90be8e90c201cfe451"/>
      <w:bookmarkEnd w:id="9"/>
      <w:r w:rsidRPr="00312C29">
        <w:rPr>
          <w:rFonts w:ascii="Arial" w:hAnsi="Arial" w:cs="Arial"/>
        </w:rPr>
        <w:t>užtikrinti, kad investicijos į materialųjį turtą vykdomos paramos gavėjo veiklos vykdymo vietoje;</w:t>
      </w:r>
    </w:p>
    <w:p w14:paraId="460E8A2E" w14:textId="61B27DEC" w:rsidR="00FE0273" w:rsidRPr="00312C29" w:rsidRDefault="00FE0273" w:rsidP="00312C29">
      <w:pPr>
        <w:pStyle w:val="ListParagraph"/>
        <w:numPr>
          <w:ilvl w:val="0"/>
          <w:numId w:val="1"/>
        </w:numPr>
        <w:ind w:left="0" w:firstLine="567"/>
        <w:rPr>
          <w:rFonts w:ascii="Arial" w:hAnsi="Arial" w:cs="Arial"/>
        </w:rPr>
      </w:pPr>
      <w:bookmarkStart w:id="10" w:name="part_bc42bd3d25444896ac4ab6784ac1309a"/>
      <w:bookmarkEnd w:id="10"/>
      <w:r w:rsidRPr="00312C29">
        <w:rPr>
          <w:rFonts w:ascii="Arial" w:hAnsi="Arial" w:cs="Arial"/>
        </w:rPr>
        <w:t>vyninių vynuogių veislių augintojas privalo užtikrinti, kad vynuogės auginamos tik Reglamento (ES) Nr. 1308/2013 VII priedo II dalyje nurodytų vynuogių produktų gamybai;</w:t>
      </w:r>
    </w:p>
    <w:p w14:paraId="36D7DBC1" w14:textId="1795B914" w:rsidR="00FE0273" w:rsidRPr="00312C29" w:rsidRDefault="00FE0273" w:rsidP="00312C29">
      <w:pPr>
        <w:pStyle w:val="ListParagraph"/>
        <w:numPr>
          <w:ilvl w:val="0"/>
          <w:numId w:val="1"/>
        </w:numPr>
        <w:ind w:left="0" w:firstLine="567"/>
        <w:rPr>
          <w:rFonts w:ascii="Arial" w:hAnsi="Arial" w:cs="Arial"/>
        </w:rPr>
      </w:pPr>
      <w:bookmarkStart w:id="11" w:name="part_10aaa049701845edaa4876c3235090ff"/>
      <w:bookmarkEnd w:id="11"/>
      <w:r w:rsidRPr="00312C29">
        <w:rPr>
          <w:rFonts w:ascii="Arial" w:hAnsi="Arial" w:cs="Arial"/>
        </w:rPr>
        <w:t>negavus Agentūros sutikimo, nekeisti ar neįtraukti naujo partnerio;</w:t>
      </w:r>
    </w:p>
    <w:p w14:paraId="12165B2D" w14:textId="65E9EEC8" w:rsidR="00FE0273" w:rsidRPr="00312C29" w:rsidRDefault="00FE0273" w:rsidP="00312C29">
      <w:pPr>
        <w:pStyle w:val="ListParagraph"/>
        <w:numPr>
          <w:ilvl w:val="0"/>
          <w:numId w:val="1"/>
        </w:numPr>
        <w:ind w:left="0" w:firstLine="567"/>
        <w:rPr>
          <w:rFonts w:ascii="Arial" w:hAnsi="Arial" w:cs="Arial"/>
        </w:rPr>
      </w:pPr>
      <w:bookmarkStart w:id="12" w:name="part_1d737ab9d28f473395b411ccd5e77236"/>
      <w:bookmarkEnd w:id="12"/>
      <w:r w:rsidRPr="00312C29">
        <w:rPr>
          <w:rFonts w:ascii="Arial" w:hAnsi="Arial" w:cs="Arial"/>
        </w:rPr>
        <w:t>įvykus įvykiui, kurio metu buvo sugadintas ar sunaikintas paramos lėšomis įsigytas ar sukurtas turtas, paramos gavėjas įsipareigoja atkurti apdraustą ir neapdraustą turtą ne mažesne negu atkuriamąja verte ir ne blogesnių techninių parametrų;</w:t>
      </w:r>
    </w:p>
    <w:p w14:paraId="7EB47B93" w14:textId="5A7A698A" w:rsidR="00FE0273" w:rsidRPr="00312C29" w:rsidRDefault="00FE0273" w:rsidP="00312C29">
      <w:pPr>
        <w:pStyle w:val="ListParagraph"/>
        <w:numPr>
          <w:ilvl w:val="0"/>
          <w:numId w:val="1"/>
        </w:numPr>
        <w:ind w:left="0" w:firstLine="567"/>
        <w:rPr>
          <w:rFonts w:ascii="Arial" w:hAnsi="Arial" w:cs="Arial"/>
        </w:rPr>
      </w:pPr>
      <w:bookmarkStart w:id="13" w:name="part_410c1920f27b42109089dba1ad5521b6"/>
      <w:bookmarkEnd w:id="13"/>
      <w:r w:rsidRPr="00312C29">
        <w:rPr>
          <w:rFonts w:ascii="Arial" w:hAnsi="Arial" w:cs="Arial"/>
        </w:rPr>
        <w:t>projektą įgyvendinti per paramos paraiškoje nurodytą laikotarpį, kuris negali viršyti 12 mėnesių laikotarpio nuo paraiškos pateikimo dienos, bet ne vėliau kaip iki einamųjų finansinių žemės ūkio metų liepos 31 d.;</w:t>
      </w:r>
    </w:p>
    <w:p w14:paraId="2D6E5C01" w14:textId="252FA8C7" w:rsidR="00FE0273" w:rsidRPr="00312C29" w:rsidRDefault="00FE0273" w:rsidP="00312C29">
      <w:pPr>
        <w:pStyle w:val="ListParagraph"/>
        <w:numPr>
          <w:ilvl w:val="0"/>
          <w:numId w:val="1"/>
        </w:numPr>
        <w:ind w:left="0" w:firstLine="567"/>
        <w:rPr>
          <w:rFonts w:ascii="Arial" w:hAnsi="Arial" w:cs="Arial"/>
        </w:rPr>
      </w:pPr>
      <w:bookmarkStart w:id="14" w:name="part_4e654b8f1142480ebc9257ff9ec26806"/>
      <w:bookmarkEnd w:id="14"/>
      <w:r w:rsidRPr="00312C29">
        <w:rPr>
          <w:rFonts w:ascii="Arial" w:hAnsi="Arial" w:cs="Arial"/>
        </w:rPr>
        <w:t>Tuo atveju, kai pareiškėjas vyninių vynuogių veislių augintojas yra fizinis asmuo, teikdamas paraišką gauna atrankos balus už Taisyklių 33.2 papunktyje nustatytą vertinimo kriterijų ir pradėdamas gaminti Reglamento (ES) Nr. 1308/2013 VII priedo II dalyje nurodytus vynuogių produktus turi tapti juridiniu asmeniu, visi įsipareigojimai turi būti perleisti tam juridiniam asmeniui ir jis turi atitikti visus Intervencinei priemonei taikomus reikalavimus;</w:t>
      </w:r>
    </w:p>
    <w:p w14:paraId="663A9E54" w14:textId="306AA55F" w:rsidR="00FE0273" w:rsidRPr="00312C29" w:rsidRDefault="00FE0273" w:rsidP="00312C29">
      <w:pPr>
        <w:pStyle w:val="ListParagraph"/>
        <w:numPr>
          <w:ilvl w:val="0"/>
          <w:numId w:val="1"/>
        </w:numPr>
        <w:ind w:left="0" w:firstLine="567"/>
        <w:rPr>
          <w:rFonts w:ascii="Arial" w:hAnsi="Arial" w:cs="Arial"/>
        </w:rPr>
      </w:pPr>
      <w:bookmarkStart w:id="15" w:name="part_7b6ac2f2fe2945f297768694f853d40d"/>
      <w:bookmarkEnd w:id="15"/>
      <w:r w:rsidRPr="00312C29">
        <w:rPr>
          <w:rFonts w:ascii="Arial" w:hAnsi="Arial" w:cs="Arial"/>
        </w:rPr>
        <w:t>Paramos gavėjas neprivalo teikti užbaigto projekto metinių ataskaitų projekto kontrolės laikotarpiu.</w:t>
      </w:r>
    </w:p>
    <w:p w14:paraId="47F45027" w14:textId="77777777" w:rsidR="00A87FD4" w:rsidRDefault="00A87FD4" w:rsidP="00312C29">
      <w:pPr>
        <w:ind w:firstLine="567"/>
      </w:pPr>
    </w:p>
    <w:sectPr w:rsidR="00A87FD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947C9"/>
    <w:multiLevelType w:val="hybridMultilevel"/>
    <w:tmpl w:val="74B81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19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A9"/>
    <w:rsid w:val="00312C29"/>
    <w:rsid w:val="00A77303"/>
    <w:rsid w:val="00A87FD4"/>
    <w:rsid w:val="00B347A9"/>
    <w:rsid w:val="00E15D81"/>
    <w:rsid w:val="00FE0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9E0B"/>
  <w15:chartTrackingRefBased/>
  <w15:docId w15:val="{FE254769-EDEF-45F2-A350-8DC7F728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7A9"/>
    <w:rPr>
      <w:rFonts w:eastAsiaTheme="majorEastAsia" w:cstheme="majorBidi"/>
      <w:color w:val="272727" w:themeColor="text1" w:themeTint="D8"/>
    </w:rPr>
  </w:style>
  <w:style w:type="paragraph" w:styleId="Title">
    <w:name w:val="Title"/>
    <w:basedOn w:val="Normal"/>
    <w:next w:val="Normal"/>
    <w:link w:val="TitleChar"/>
    <w:uiPriority w:val="10"/>
    <w:qFormat/>
    <w:rsid w:val="00B34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7A9"/>
    <w:pPr>
      <w:spacing w:before="160"/>
      <w:jc w:val="center"/>
    </w:pPr>
    <w:rPr>
      <w:i/>
      <w:iCs/>
      <w:color w:val="404040" w:themeColor="text1" w:themeTint="BF"/>
    </w:rPr>
  </w:style>
  <w:style w:type="character" w:customStyle="1" w:styleId="QuoteChar">
    <w:name w:val="Quote Char"/>
    <w:basedOn w:val="DefaultParagraphFont"/>
    <w:link w:val="Quote"/>
    <w:uiPriority w:val="29"/>
    <w:rsid w:val="00B347A9"/>
    <w:rPr>
      <w:i/>
      <w:iCs/>
      <w:color w:val="404040" w:themeColor="text1" w:themeTint="BF"/>
    </w:rPr>
  </w:style>
  <w:style w:type="paragraph" w:styleId="ListParagraph">
    <w:name w:val="List Paragraph"/>
    <w:basedOn w:val="Normal"/>
    <w:uiPriority w:val="34"/>
    <w:qFormat/>
    <w:rsid w:val="00B347A9"/>
    <w:pPr>
      <w:ind w:left="720"/>
      <w:contextualSpacing/>
    </w:pPr>
  </w:style>
  <w:style w:type="character" w:styleId="IntenseEmphasis">
    <w:name w:val="Intense Emphasis"/>
    <w:basedOn w:val="DefaultParagraphFont"/>
    <w:uiPriority w:val="21"/>
    <w:qFormat/>
    <w:rsid w:val="00B347A9"/>
    <w:rPr>
      <w:i/>
      <w:iCs/>
      <w:color w:val="0F4761" w:themeColor="accent1" w:themeShade="BF"/>
    </w:rPr>
  </w:style>
  <w:style w:type="paragraph" w:styleId="IntenseQuote">
    <w:name w:val="Intense Quote"/>
    <w:basedOn w:val="Normal"/>
    <w:next w:val="Normal"/>
    <w:link w:val="IntenseQuoteChar"/>
    <w:uiPriority w:val="30"/>
    <w:qFormat/>
    <w:rsid w:val="00B34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7A9"/>
    <w:rPr>
      <w:i/>
      <w:iCs/>
      <w:color w:val="0F4761" w:themeColor="accent1" w:themeShade="BF"/>
    </w:rPr>
  </w:style>
  <w:style w:type="character" w:styleId="IntenseReference">
    <w:name w:val="Intense Reference"/>
    <w:basedOn w:val="DefaultParagraphFont"/>
    <w:uiPriority w:val="32"/>
    <w:qFormat/>
    <w:rsid w:val="00B347A9"/>
    <w:rPr>
      <w:b/>
      <w:bCs/>
      <w:smallCaps/>
      <w:color w:val="0F4761" w:themeColor="accent1" w:themeShade="BF"/>
      <w:spacing w:val="5"/>
    </w:rPr>
  </w:style>
  <w:style w:type="character" w:styleId="Hyperlink">
    <w:name w:val="Hyperlink"/>
    <w:basedOn w:val="DefaultParagraphFont"/>
    <w:uiPriority w:val="99"/>
    <w:unhideWhenUsed/>
    <w:rsid w:val="00FE0273"/>
    <w:rPr>
      <w:color w:val="467886" w:themeColor="hyperlink"/>
      <w:u w:val="single"/>
    </w:rPr>
  </w:style>
  <w:style w:type="character" w:styleId="UnresolvedMention">
    <w:name w:val="Unresolved Mention"/>
    <w:basedOn w:val="DefaultParagraphFont"/>
    <w:uiPriority w:val="99"/>
    <w:semiHidden/>
    <w:unhideWhenUsed/>
    <w:rsid w:val="00FE0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3372</Words>
  <Characters>1923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Grigaliūnaitė</dc:creator>
  <cp:keywords/>
  <dc:description/>
  <cp:lastModifiedBy>Ilma Grigaliūnaitė</cp:lastModifiedBy>
  <cp:revision>3</cp:revision>
  <dcterms:created xsi:type="dcterms:W3CDTF">2026-05-13T13:25:00Z</dcterms:created>
  <dcterms:modified xsi:type="dcterms:W3CDTF">2026-05-15T10:42:00Z</dcterms:modified>
</cp:coreProperties>
</file>