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13A3" w14:textId="267667C0" w:rsidR="00B61F82" w:rsidRPr="00F94ED1" w:rsidRDefault="00B61F82" w:rsidP="00F719B2">
      <w:pPr>
        <w:jc w:val="both"/>
        <w:rPr>
          <w:rFonts w:ascii="Arial" w:eastAsia="Times New Roman" w:hAnsi="Arial" w:cs="Arial"/>
          <w:b/>
          <w:bCs/>
          <w:sz w:val="24"/>
          <w:szCs w:val="24"/>
          <w:lang w:eastAsia="lt-LT"/>
        </w:rPr>
      </w:pPr>
      <w:r w:rsidRPr="00F94ED1">
        <w:rPr>
          <w:rFonts w:ascii="Arial" w:eastAsia="Times New Roman" w:hAnsi="Arial" w:cs="Arial"/>
          <w:b/>
          <w:bCs/>
          <w:sz w:val="24"/>
          <w:szCs w:val="24"/>
          <w:lang w:eastAsia="lt-LT"/>
        </w:rPr>
        <w:t>Atrankos kriterijai</w:t>
      </w:r>
      <w:r w:rsidR="00297457" w:rsidRPr="00F94ED1">
        <w:rPr>
          <w:rFonts w:ascii="Arial" w:eastAsia="Times New Roman" w:hAnsi="Arial" w:cs="Arial"/>
          <w:b/>
          <w:bCs/>
          <w:sz w:val="24"/>
          <w:szCs w:val="24"/>
          <w:lang w:eastAsia="lt-LT"/>
        </w:rPr>
        <w:t>, taikomi paraiškoms teikiamoms pagal SP priemonę „Jaunųjų ūkininkų įsikūrimas“</w:t>
      </w:r>
    </w:p>
    <w:p w14:paraId="39A02477" w14:textId="77777777" w:rsidR="00B61F82" w:rsidRPr="00F94ED1" w:rsidRDefault="00B61F82" w:rsidP="00F719B2">
      <w:pPr>
        <w:jc w:val="both"/>
        <w:rPr>
          <w:rFonts w:ascii="Arial" w:eastAsia="Times New Roman" w:hAnsi="Arial" w:cs="Arial"/>
          <w:sz w:val="24"/>
          <w:szCs w:val="24"/>
          <w:lang w:eastAsia="lt-LT"/>
        </w:rPr>
      </w:pPr>
      <w:r w:rsidRPr="00F94ED1">
        <w:rPr>
          <w:rFonts w:ascii="Arial" w:eastAsia="Times New Roman" w:hAnsi="Arial" w:cs="Arial"/>
          <w:sz w:val="24"/>
          <w:szCs w:val="24"/>
          <w:lang w:eastAsia="lt-LT"/>
        </w:rPr>
        <w:t> </w:t>
      </w:r>
    </w:p>
    <w:p w14:paraId="4FA3B150" w14:textId="66EE18F6" w:rsidR="00B61F82" w:rsidRPr="00F94ED1" w:rsidRDefault="00B61F82" w:rsidP="00F719B2">
      <w:pPr>
        <w:jc w:val="both"/>
        <w:rPr>
          <w:rFonts w:ascii="Arial" w:eastAsia="Times New Roman" w:hAnsi="Arial" w:cs="Arial"/>
          <w:sz w:val="24"/>
          <w:szCs w:val="24"/>
          <w:lang w:eastAsia="lt-LT"/>
        </w:rPr>
      </w:pPr>
      <w:r w:rsidRPr="00F94ED1">
        <w:rPr>
          <w:rFonts w:ascii="Arial" w:eastAsia="Times New Roman" w:hAnsi="Arial" w:cs="Arial"/>
          <w:sz w:val="24"/>
          <w:szCs w:val="24"/>
          <w:lang w:eastAsia="lt-LT"/>
        </w:rPr>
        <w:t>Paraiškos, kuriose prašoma gauti dotaciją (vienkartinę išmoką) arba dotaciją ir lengvatinę paskolą, bus vertinamos suteikiant joms balus už atitiktį šiems įgyvendinimo taisyklėse nustatytiems atrankos kriterijams</w:t>
      </w:r>
      <w:r w:rsidR="00D83C0F" w:rsidRPr="00F94ED1">
        <w:rPr>
          <w:rFonts w:ascii="Arial" w:eastAsia="Times New Roman" w:hAnsi="Arial" w:cs="Arial"/>
          <w:sz w:val="24"/>
          <w:szCs w:val="24"/>
          <w:lang w:eastAsia="lt-LT"/>
        </w:rPr>
        <w:t xml:space="preserve">. Svarbu atkreipti dėmesį, jog </w:t>
      </w:r>
      <w:r w:rsidR="00B9594C" w:rsidRPr="00F94ED1">
        <w:rPr>
          <w:rFonts w:ascii="Arial" w:hAnsi="Arial" w:cs="Arial"/>
          <w:sz w:val="24"/>
          <w:szCs w:val="24"/>
        </w:rPr>
        <w:t>a</w:t>
      </w:r>
      <w:r w:rsidR="00D83C0F" w:rsidRPr="00F94ED1">
        <w:rPr>
          <w:rFonts w:ascii="Arial" w:hAnsi="Arial" w:cs="Arial"/>
          <w:sz w:val="24"/>
          <w:szCs w:val="24"/>
        </w:rPr>
        <w:t>titiktis 4–</w:t>
      </w:r>
      <w:r w:rsidR="002951AE" w:rsidRPr="00F94ED1">
        <w:rPr>
          <w:rFonts w:ascii="Arial" w:hAnsi="Arial" w:cs="Arial"/>
          <w:sz w:val="24"/>
          <w:szCs w:val="24"/>
        </w:rPr>
        <w:t>6</w:t>
      </w:r>
      <w:r w:rsidR="00D83C0F" w:rsidRPr="00F94ED1">
        <w:rPr>
          <w:rFonts w:ascii="Arial" w:hAnsi="Arial" w:cs="Arial"/>
          <w:sz w:val="24"/>
          <w:szCs w:val="24"/>
        </w:rPr>
        <w:t xml:space="preserve"> atrankos kriterijams vertinama pagal verslo plano prognozes.</w:t>
      </w:r>
    </w:p>
    <w:p w14:paraId="55D619DC" w14:textId="77777777" w:rsidR="00B61F82" w:rsidRPr="00F94ED1" w:rsidRDefault="00B61F82" w:rsidP="00F719B2">
      <w:pPr>
        <w:jc w:val="both"/>
        <w:rPr>
          <w:rFonts w:ascii="Arial" w:eastAsia="Times New Roman" w:hAnsi="Arial" w:cs="Arial"/>
          <w:sz w:val="24"/>
          <w:szCs w:val="24"/>
          <w:lang w:eastAsia="lt-LT"/>
        </w:rPr>
      </w:pPr>
    </w:p>
    <w:p w14:paraId="4CE0FB19" w14:textId="02FF97DF" w:rsidR="00B9594C" w:rsidRPr="00F94ED1" w:rsidRDefault="00B9594C" w:rsidP="00F94ED1">
      <w:pPr>
        <w:pStyle w:val="ListParagraph"/>
        <w:numPr>
          <w:ilvl w:val="0"/>
          <w:numId w:val="10"/>
        </w:numPr>
        <w:tabs>
          <w:tab w:val="left" w:pos="851"/>
          <w:tab w:val="left" w:pos="1276"/>
        </w:tabs>
        <w:jc w:val="both"/>
        <w:rPr>
          <w:rFonts w:ascii="Arial" w:hAnsi="Arial" w:cs="Arial"/>
        </w:rPr>
      </w:pPr>
      <w:bookmarkStart w:id="0" w:name="part_71ecec804c354193a4146ca379e59daf"/>
      <w:bookmarkEnd w:id="0"/>
      <w:r w:rsidRPr="00F94ED1">
        <w:rPr>
          <w:rFonts w:ascii="Arial" w:hAnsi="Arial" w:cs="Arial"/>
        </w:rPr>
        <w:t xml:space="preserve">kai kuriamas ekologinis ūkis, suteikiama </w:t>
      </w:r>
      <w:r w:rsidRPr="00F94ED1">
        <w:rPr>
          <w:rFonts w:ascii="Arial" w:hAnsi="Arial" w:cs="Arial"/>
          <w:b/>
          <w:bCs/>
        </w:rPr>
        <w:t>15 balų</w:t>
      </w:r>
      <w:r w:rsidR="003D5665" w:rsidRPr="00F94ED1">
        <w:rPr>
          <w:rFonts w:ascii="Arial" w:hAnsi="Arial" w:cs="Arial"/>
        </w:rPr>
        <w:t>;</w:t>
      </w:r>
    </w:p>
    <w:p w14:paraId="00B38B9C" w14:textId="77777777" w:rsidR="00F94ED1" w:rsidRPr="00F94ED1" w:rsidRDefault="00F94ED1" w:rsidP="00F94ED1">
      <w:pPr>
        <w:tabs>
          <w:tab w:val="left" w:pos="851"/>
          <w:tab w:val="left" w:pos="1276"/>
        </w:tabs>
        <w:ind w:left="340"/>
        <w:jc w:val="both"/>
        <w:rPr>
          <w:rFonts w:ascii="Arial" w:eastAsia="Calibri" w:hAnsi="Arial" w:cs="Arial"/>
          <w:color w:val="000000"/>
          <w:sz w:val="24"/>
          <w:szCs w:val="24"/>
        </w:rPr>
      </w:pPr>
    </w:p>
    <w:p w14:paraId="48366DA4" w14:textId="221BFA44" w:rsidR="00B9594C" w:rsidRPr="00F94ED1" w:rsidRDefault="00B9594C" w:rsidP="00F94ED1">
      <w:pPr>
        <w:pStyle w:val="ListParagraph"/>
        <w:numPr>
          <w:ilvl w:val="0"/>
          <w:numId w:val="10"/>
        </w:numPr>
        <w:tabs>
          <w:tab w:val="left" w:pos="851"/>
          <w:tab w:val="left" w:pos="1276"/>
        </w:tabs>
        <w:jc w:val="both"/>
        <w:rPr>
          <w:rFonts w:ascii="Arial" w:hAnsi="Arial" w:cs="Arial"/>
        </w:rPr>
      </w:pPr>
      <w:r w:rsidRPr="00F94ED1">
        <w:rPr>
          <w:rFonts w:ascii="Arial" w:hAnsi="Arial" w:cs="Arial"/>
        </w:rPr>
        <w:t xml:space="preserve">kai projekte numatyta vykdyti gamybą pagal nacionalinės žemės ūkio ir maisto kokybės sistemos (NKP) reikalavimus, suteikiama </w:t>
      </w:r>
      <w:r w:rsidRPr="00F94ED1">
        <w:rPr>
          <w:rFonts w:ascii="Arial" w:hAnsi="Arial" w:cs="Arial"/>
          <w:b/>
          <w:bCs/>
        </w:rPr>
        <w:t>5 balai</w:t>
      </w:r>
      <w:r w:rsidRPr="00F94ED1">
        <w:rPr>
          <w:rFonts w:ascii="Arial" w:hAnsi="Arial" w:cs="Arial"/>
        </w:rPr>
        <w:t xml:space="preserve">. </w:t>
      </w:r>
    </w:p>
    <w:p w14:paraId="2E523084" w14:textId="77777777" w:rsidR="00F94ED1" w:rsidRPr="00F94ED1" w:rsidRDefault="00F94ED1" w:rsidP="00F94ED1">
      <w:pPr>
        <w:tabs>
          <w:tab w:val="left" w:pos="851"/>
          <w:tab w:val="left" w:pos="1276"/>
        </w:tabs>
        <w:jc w:val="both"/>
        <w:rPr>
          <w:rFonts w:ascii="Arial" w:hAnsi="Arial" w:cs="Arial"/>
          <w:sz w:val="24"/>
          <w:szCs w:val="24"/>
        </w:rPr>
      </w:pPr>
    </w:p>
    <w:p w14:paraId="1534E758" w14:textId="6710159D" w:rsidR="00B9594C" w:rsidRPr="00F94ED1" w:rsidRDefault="00B9594C" w:rsidP="00F719B2">
      <w:pPr>
        <w:ind w:firstLine="340"/>
        <w:jc w:val="both"/>
        <w:rPr>
          <w:rFonts w:ascii="Arial" w:eastAsia="Calibri" w:hAnsi="Arial" w:cs="Arial"/>
          <w:color w:val="000000"/>
          <w:sz w:val="24"/>
          <w:szCs w:val="24"/>
        </w:rPr>
      </w:pPr>
      <w:r w:rsidRPr="00F94ED1">
        <w:rPr>
          <w:rFonts w:ascii="Arial" w:hAnsi="Arial" w:cs="Arial"/>
          <w:sz w:val="24"/>
          <w:szCs w:val="24"/>
          <w:lang w:eastAsia="lt-LT"/>
        </w:rPr>
        <w:t xml:space="preserve">3. kai projektas prisideda prie tvarios žemės ūkio veiklos vykdymo, daugiausia gali būti </w:t>
      </w:r>
      <w:r w:rsidRPr="00F94ED1">
        <w:rPr>
          <w:rFonts w:ascii="Arial" w:eastAsia="Calibri" w:hAnsi="Arial" w:cs="Arial"/>
          <w:color w:val="000000"/>
          <w:sz w:val="24"/>
          <w:szCs w:val="24"/>
        </w:rPr>
        <w:t xml:space="preserve">suteikiama </w:t>
      </w:r>
      <w:r w:rsidRPr="00F94ED1">
        <w:rPr>
          <w:rFonts w:ascii="Arial" w:eastAsia="Calibri" w:hAnsi="Arial" w:cs="Arial"/>
          <w:b/>
          <w:bCs/>
          <w:color w:val="000000"/>
          <w:sz w:val="24"/>
          <w:szCs w:val="24"/>
        </w:rPr>
        <w:t>20 balų</w:t>
      </w:r>
      <w:r w:rsidRPr="00F94ED1">
        <w:rPr>
          <w:rFonts w:ascii="Arial" w:eastAsia="Calibri" w:hAnsi="Arial" w:cs="Arial"/>
          <w:color w:val="000000"/>
          <w:sz w:val="24"/>
          <w:szCs w:val="24"/>
        </w:rPr>
        <w:t xml:space="preserve">. Už kiekvieną nurodytą požymį gali būti suteikiama </w:t>
      </w:r>
      <w:r w:rsidRPr="00F94ED1">
        <w:rPr>
          <w:rFonts w:ascii="Arial" w:eastAsia="Calibri" w:hAnsi="Arial" w:cs="Arial"/>
          <w:b/>
          <w:bCs/>
          <w:color w:val="000000"/>
          <w:sz w:val="24"/>
          <w:szCs w:val="24"/>
        </w:rPr>
        <w:t>po 5 balus</w:t>
      </w:r>
      <w:r w:rsidRPr="00F94ED1">
        <w:rPr>
          <w:rFonts w:ascii="Arial" w:eastAsia="Calibri" w:hAnsi="Arial" w:cs="Arial"/>
          <w:color w:val="000000"/>
          <w:sz w:val="24"/>
          <w:szCs w:val="24"/>
        </w:rPr>
        <w:t>:</w:t>
      </w:r>
    </w:p>
    <w:p w14:paraId="299BCB4D" w14:textId="0A70D220" w:rsidR="00B9594C" w:rsidRPr="00F94ED1" w:rsidRDefault="00B9594C" w:rsidP="00F719B2">
      <w:pPr>
        <w:pStyle w:val="ListParagraph"/>
        <w:numPr>
          <w:ilvl w:val="0"/>
          <w:numId w:val="6"/>
        </w:numPr>
        <w:ind w:left="0" w:firstLine="360"/>
        <w:jc w:val="both"/>
        <w:rPr>
          <w:rFonts w:ascii="Arial" w:hAnsi="Arial" w:cs="Arial"/>
        </w:rPr>
      </w:pPr>
      <w:r w:rsidRPr="00F94ED1">
        <w:rPr>
          <w:rFonts w:ascii="Arial" w:eastAsia="Calibri" w:hAnsi="Arial" w:cs="Arial"/>
          <w:color w:val="000000"/>
        </w:rPr>
        <w:t>projektas prisideda prie aplinkos taršos mažinimo</w:t>
      </w:r>
      <w:r w:rsidRPr="00F94ED1">
        <w:rPr>
          <w:rFonts w:ascii="Arial" w:hAnsi="Arial" w:cs="Arial"/>
        </w:rPr>
        <w:t>, dalyvaujant ne mažiau kaip 50 proc. deklaruoto ŽŪN ploto bent vienoje (ar keliose) Strateginio plano intervencinėje priemonėje, patenkančioje į Klimatui, aplinkai ir gyvūnų gerovei naudingas sistemas (</w:t>
      </w:r>
      <w:proofErr w:type="spellStart"/>
      <w:r w:rsidRPr="00F94ED1">
        <w:rPr>
          <w:rFonts w:ascii="Arial" w:hAnsi="Arial" w:cs="Arial"/>
        </w:rPr>
        <w:t>Eko</w:t>
      </w:r>
      <w:proofErr w:type="spellEnd"/>
      <w:r w:rsidRPr="00F94ED1">
        <w:rPr>
          <w:rFonts w:ascii="Arial" w:hAnsi="Arial" w:cs="Arial"/>
        </w:rPr>
        <w:t xml:space="preserve"> schemas), išskyrus už dalyvavimą priemonėse „Ekologinis ūkininkavimas“, „Perėjimas prie ekologinio ūkininkavimo“, „Tausojanti vaisių, uogų ir daržovių programa“ (NKP), „Gyvūnų gerovė“;</w:t>
      </w:r>
    </w:p>
    <w:p w14:paraId="20D7C485" w14:textId="77777777" w:rsidR="00F94ED1" w:rsidRPr="00F94ED1" w:rsidRDefault="00B9594C" w:rsidP="00F719B2">
      <w:pPr>
        <w:pStyle w:val="ListParagraph"/>
        <w:numPr>
          <w:ilvl w:val="0"/>
          <w:numId w:val="6"/>
        </w:numPr>
        <w:tabs>
          <w:tab w:val="left" w:pos="851"/>
          <w:tab w:val="left" w:pos="1276"/>
        </w:tabs>
        <w:ind w:left="0" w:firstLine="360"/>
        <w:jc w:val="both"/>
        <w:rPr>
          <w:rFonts w:ascii="Arial" w:hAnsi="Arial" w:cs="Arial"/>
        </w:rPr>
      </w:pPr>
      <w:r w:rsidRPr="00F94ED1">
        <w:rPr>
          <w:rFonts w:ascii="Arial" w:hAnsi="Arial" w:cs="Arial"/>
        </w:rPr>
        <w:t xml:space="preserve">pareiškėjas verslo plane investuoja į įrangą, energiją gaminančią iš atsinaujinančių šaltinių (balai suteikiami ir tuo atveju, kai investicijos atliktos (pateikiama šios įrangos pirkimo-pardavimo sutartis ir apmokėjimą įrodantis dokumentas) arba numatomos atlikti naudojant ir kitų fondų ar nuosavas lėšas (pateikiamas patvirtinimo dokumentas). </w:t>
      </w:r>
    </w:p>
    <w:p w14:paraId="58D30284" w14:textId="29C90BD5" w:rsidR="00B9594C" w:rsidRPr="00F94ED1" w:rsidRDefault="00B9594C" w:rsidP="00F94ED1">
      <w:pPr>
        <w:tabs>
          <w:tab w:val="left" w:pos="851"/>
          <w:tab w:val="left" w:pos="1276"/>
        </w:tabs>
        <w:jc w:val="both"/>
        <w:rPr>
          <w:rFonts w:ascii="Arial" w:hAnsi="Arial" w:cs="Arial"/>
          <w:sz w:val="24"/>
          <w:szCs w:val="24"/>
        </w:rPr>
      </w:pPr>
      <w:r w:rsidRPr="00F94ED1">
        <w:rPr>
          <w:rFonts w:ascii="Arial" w:hAnsi="Arial" w:cs="Arial"/>
          <w:sz w:val="24"/>
          <w:szCs w:val="24"/>
        </w:rPr>
        <w:t xml:space="preserve">Balai suteikiami tik už šias investicijas: saulės baterijos, saulės kolektoriai, saulės moduliai, geoterminio šildymo, oras-oras, oras-vanduo šildymo sistemos, kai nurodytos investicijos susijusios su valdos gamybiniais poreikiais (pardavimui skirta energija neremiama). Už kitas investicijas (kai įranga, energiją gaminanti iš atsinaujinančių šaltinių, yra tik priedas prie kitų investicijų) balai nesuteikiami. Investicijos turi būti atliktos iki verslo plano įgyvendinimo pabaigos; </w:t>
      </w:r>
    </w:p>
    <w:p w14:paraId="0723907D" w14:textId="77777777" w:rsidR="00F94ED1" w:rsidRPr="00F94ED1" w:rsidRDefault="00B9594C" w:rsidP="00F719B2">
      <w:pPr>
        <w:pStyle w:val="ListParagraph"/>
        <w:numPr>
          <w:ilvl w:val="0"/>
          <w:numId w:val="6"/>
        </w:numPr>
        <w:tabs>
          <w:tab w:val="left" w:pos="851"/>
          <w:tab w:val="left" w:pos="1276"/>
        </w:tabs>
        <w:ind w:left="0" w:firstLine="360"/>
        <w:jc w:val="both"/>
        <w:rPr>
          <w:rFonts w:ascii="Arial" w:hAnsi="Arial" w:cs="Arial"/>
          <w:b/>
          <w:bCs/>
          <w:color w:val="000000"/>
        </w:rPr>
      </w:pPr>
      <w:r w:rsidRPr="00F94ED1">
        <w:rPr>
          <w:rFonts w:ascii="Arial" w:hAnsi="Arial" w:cs="Arial"/>
        </w:rPr>
        <w:t xml:space="preserve">pareiškėjas verslo plane investuoja į gamybinių procesų skaitmeninimo inovacijas. </w:t>
      </w:r>
    </w:p>
    <w:p w14:paraId="239C169D" w14:textId="36AF88E5" w:rsidR="00B9594C" w:rsidRPr="00F94ED1" w:rsidRDefault="00B9594C" w:rsidP="00F94ED1">
      <w:pPr>
        <w:tabs>
          <w:tab w:val="left" w:pos="851"/>
          <w:tab w:val="left" w:pos="1276"/>
        </w:tabs>
        <w:jc w:val="both"/>
        <w:rPr>
          <w:rFonts w:ascii="Arial" w:hAnsi="Arial" w:cs="Arial"/>
          <w:b/>
          <w:bCs/>
          <w:color w:val="000000"/>
          <w:sz w:val="24"/>
          <w:szCs w:val="24"/>
        </w:rPr>
      </w:pPr>
      <w:r w:rsidRPr="00F94ED1">
        <w:rPr>
          <w:rFonts w:ascii="Arial" w:hAnsi="Arial" w:cs="Arial"/>
          <w:sz w:val="24"/>
          <w:szCs w:val="24"/>
        </w:rPr>
        <w:t xml:space="preserve">Balai suteikiami, investuojant į skaitmenines technologijas, nurodytas Projektų inovatyvumo vertinimo metodikos 1 priedo kriterijuje „Skaitmeninimas“. Investicijos turi būti atliktos iki verslo plano įgyvendinimo pabaigos paramos lėšomis; </w:t>
      </w:r>
    </w:p>
    <w:p w14:paraId="1BAEAE0F" w14:textId="77777777" w:rsidR="00F94ED1" w:rsidRPr="00F94ED1" w:rsidRDefault="00B9044B" w:rsidP="00B9044B">
      <w:pPr>
        <w:pStyle w:val="ListParagraph"/>
        <w:numPr>
          <w:ilvl w:val="0"/>
          <w:numId w:val="6"/>
        </w:numPr>
        <w:ind w:left="0" w:firstLine="357"/>
        <w:jc w:val="both"/>
        <w:rPr>
          <w:rFonts w:ascii="Arial" w:hAnsi="Arial" w:cs="Arial"/>
          <w:color w:val="000000"/>
        </w:rPr>
      </w:pPr>
      <w:r w:rsidRPr="00F94ED1">
        <w:rPr>
          <w:rFonts w:ascii="Arial" w:hAnsi="Arial" w:cs="Arial"/>
          <w:color w:val="000000"/>
        </w:rPr>
        <w:t xml:space="preserve">projektas prisideda prie veiklos rizikų valdymo. </w:t>
      </w:r>
    </w:p>
    <w:p w14:paraId="23060037" w14:textId="0215DC3C" w:rsidR="00B9044B" w:rsidRPr="00F94ED1" w:rsidRDefault="00B9044B" w:rsidP="00F94ED1">
      <w:pPr>
        <w:jc w:val="both"/>
        <w:rPr>
          <w:rFonts w:ascii="Arial" w:hAnsi="Arial" w:cs="Arial"/>
          <w:color w:val="000000"/>
          <w:sz w:val="24"/>
          <w:szCs w:val="24"/>
        </w:rPr>
      </w:pPr>
      <w:r w:rsidRPr="00F94ED1">
        <w:rPr>
          <w:rFonts w:ascii="Arial" w:hAnsi="Arial" w:cs="Arial"/>
          <w:color w:val="000000"/>
          <w:sz w:val="24"/>
          <w:szCs w:val="24"/>
        </w:rPr>
        <w:t>Balai suteikiami, jei dalyvaujama Strateginio plano kaimo plėtros rizikos valdymo intervencinėje priemonėje „Pasėlių, augalų ir gyvūnų draudimas“ arba jei verslo plane numatytos investicijos į remiamos veiklos rizikos (nuo nepalankių klimato reiškinių, aplinkos poveikio, ligų) mažinimo priemones, įskaitant savanorišką pasėlių, augalų, gyvūnų draudimą (investicijos turi būti atliktos iki verslo plano įgyvendinimo pabaigos paramos, nuosavomis ar kitomis lėšomis). Dalyvavimas intervencinėje priemonėje „Pasėlių, augalų ir gyvūnų draudimas“, savanoriško pasėlių, augalų, gyvūnų draudimo faktas tikrinami įgyvendinus verslo planą ir jo kontrolės laikotarpiu;</w:t>
      </w:r>
    </w:p>
    <w:p w14:paraId="3843096F" w14:textId="00AE63E3" w:rsidR="00B9044B" w:rsidRPr="00F94ED1" w:rsidRDefault="00B9044B" w:rsidP="00B9044B">
      <w:pPr>
        <w:ind w:firstLine="357"/>
        <w:jc w:val="both"/>
        <w:rPr>
          <w:rFonts w:ascii="Arial" w:hAnsi="Arial" w:cs="Arial"/>
          <w:color w:val="000000"/>
          <w:sz w:val="24"/>
          <w:szCs w:val="24"/>
        </w:rPr>
      </w:pPr>
      <w:r w:rsidRPr="00F94ED1">
        <w:rPr>
          <w:rFonts w:ascii="Arial" w:hAnsi="Arial" w:cs="Arial"/>
          <w:b/>
          <w:bCs/>
          <w:i/>
          <w:iCs/>
          <w:color w:val="000000"/>
          <w:sz w:val="24"/>
          <w:szCs w:val="24"/>
        </w:rPr>
        <w:t>P</w:t>
      </w:r>
      <w:r w:rsidRPr="00F94ED1">
        <w:rPr>
          <w:rFonts w:ascii="Arial" w:hAnsi="Arial" w:cs="Arial"/>
          <w:b/>
          <w:bCs/>
          <w:i/>
          <w:iCs/>
          <w:color w:val="000000"/>
          <w:sz w:val="24"/>
          <w:szCs w:val="24"/>
        </w:rPr>
        <w:t>astaba.</w:t>
      </w:r>
      <w:r w:rsidRPr="00F94ED1">
        <w:rPr>
          <w:rFonts w:ascii="Arial" w:hAnsi="Arial" w:cs="Arial"/>
          <w:i/>
          <w:iCs/>
          <w:color w:val="000000"/>
          <w:sz w:val="24"/>
          <w:szCs w:val="24"/>
        </w:rPr>
        <w:t> taikoma paramos paraiškoms, kurių teikimo laikotarpis prasidės po 2026 m. balandžio 23 d. įsakymo Nr. 3D-201 įsigaliojimo (2026-04-24).</w:t>
      </w:r>
    </w:p>
    <w:p w14:paraId="361C4660" w14:textId="2B597C65" w:rsidR="00B9594C" w:rsidRPr="00F94ED1" w:rsidRDefault="00B9594C" w:rsidP="00B9044B">
      <w:pPr>
        <w:pStyle w:val="ListParagraph"/>
        <w:ind w:left="360"/>
        <w:jc w:val="both"/>
        <w:rPr>
          <w:rFonts w:ascii="Arial" w:hAnsi="Arial" w:cs="Arial"/>
        </w:rPr>
      </w:pPr>
    </w:p>
    <w:p w14:paraId="26220490" w14:textId="77777777" w:rsidR="00F94ED1" w:rsidRPr="00F94ED1" w:rsidRDefault="00B9594C" w:rsidP="00F719B2">
      <w:pPr>
        <w:tabs>
          <w:tab w:val="left" w:pos="851"/>
          <w:tab w:val="left" w:pos="1276"/>
        </w:tabs>
        <w:ind w:firstLine="340"/>
        <w:jc w:val="both"/>
        <w:rPr>
          <w:rFonts w:ascii="Arial" w:hAnsi="Arial" w:cs="Arial"/>
          <w:sz w:val="24"/>
          <w:szCs w:val="24"/>
        </w:rPr>
      </w:pPr>
      <w:r w:rsidRPr="00F94ED1">
        <w:rPr>
          <w:rFonts w:ascii="Arial" w:hAnsi="Arial" w:cs="Arial"/>
          <w:sz w:val="24"/>
          <w:szCs w:val="24"/>
        </w:rPr>
        <w:t xml:space="preserve">4. </w:t>
      </w:r>
      <w:r w:rsidR="00B231EE" w:rsidRPr="00F94ED1">
        <w:rPr>
          <w:rFonts w:ascii="Arial" w:hAnsi="Arial" w:cs="Arial"/>
          <w:sz w:val="24"/>
          <w:szCs w:val="24"/>
        </w:rPr>
        <w:t xml:space="preserve">kai projekte numatytas savo ūkyje pagamintos ir (arba) užaugintos žemės ūkio produkcijos perdirbimas, įskaitant pirminį perdirbimą, suteikiama </w:t>
      </w:r>
      <w:r w:rsidR="00B231EE" w:rsidRPr="00F94ED1">
        <w:rPr>
          <w:rFonts w:ascii="Arial" w:hAnsi="Arial" w:cs="Arial"/>
          <w:b/>
          <w:bCs/>
          <w:sz w:val="24"/>
          <w:szCs w:val="24"/>
        </w:rPr>
        <w:t>20 balų</w:t>
      </w:r>
      <w:r w:rsidR="00B231EE" w:rsidRPr="00F94ED1">
        <w:rPr>
          <w:rFonts w:ascii="Arial" w:hAnsi="Arial" w:cs="Arial"/>
          <w:sz w:val="24"/>
          <w:szCs w:val="24"/>
        </w:rPr>
        <w:t xml:space="preserve">. </w:t>
      </w:r>
    </w:p>
    <w:p w14:paraId="75C4AA56" w14:textId="07A6D40F" w:rsidR="00B9594C" w:rsidRPr="00F94ED1" w:rsidRDefault="00B231EE" w:rsidP="00F719B2">
      <w:pPr>
        <w:tabs>
          <w:tab w:val="left" w:pos="851"/>
          <w:tab w:val="left" w:pos="1276"/>
        </w:tabs>
        <w:ind w:firstLine="340"/>
        <w:jc w:val="both"/>
        <w:rPr>
          <w:rFonts w:ascii="Arial" w:hAnsi="Arial" w:cs="Arial"/>
          <w:sz w:val="24"/>
          <w:szCs w:val="24"/>
        </w:rPr>
      </w:pPr>
      <w:r w:rsidRPr="00F94ED1">
        <w:rPr>
          <w:rFonts w:ascii="Arial" w:hAnsi="Arial" w:cs="Arial"/>
          <w:sz w:val="24"/>
          <w:szCs w:val="24"/>
        </w:rPr>
        <w:lastRenderedPageBreak/>
        <w:t>Balai suteikiami, jei pajamos iš savo ūkyje pagamintos ir (arba) užaugintos žemės ūkio produkcijos perdirbimo, įskaitant pirminį perdirbimą, sudaro ne mažiau kaip 50 proc. visų subjekto veiklos pajamų. Balai suteikiami, jei perdirbimas, įskaitant pirminį perdirbimą, vykdomas savo ūkyje (balai nesuteikiami, jei perkamos perdirbimo, įskaitant pirminį perdirbimą, paslaugos, darbai). Tikrinama įgyvendinus verslo planą ir verslo plano kontrolės laikotarpiu naudojant pažymoje, parengtoje vadovaujantis Žemės ūkio veiklos pajamų įvertinimo metodika, esančią informaciją apie ūkio subjekto pajamas. Jei patalpos, įranga, reikalinga vykdyti perdirbimo, įskaitant pirminį perdirbimą, veiklą, nepriklauso pareiškėjui nuosavybės teise, nuomos, panaudos ar kito teisėto naudojimosi patalpomis, įranga sutartys turi būti sudarytos ne trumpesniam terminui kaip iki projekto kontrolės laikotarpio pabaigos, o teisėto naudojimosi nekilnojamuoju turtu sutartys turi būti įregistruotos VĮ Registrų centre iki paramos paraiškos vertinimo pabaigos;</w:t>
      </w:r>
    </w:p>
    <w:p w14:paraId="3044DBAB" w14:textId="5CAC0390" w:rsidR="00B231EE" w:rsidRPr="00F94ED1" w:rsidRDefault="00B231EE" w:rsidP="00F719B2">
      <w:pPr>
        <w:tabs>
          <w:tab w:val="left" w:pos="851"/>
          <w:tab w:val="left" w:pos="1276"/>
        </w:tabs>
        <w:ind w:firstLine="340"/>
        <w:jc w:val="both"/>
        <w:rPr>
          <w:rFonts w:ascii="Arial" w:hAnsi="Arial" w:cs="Arial"/>
          <w:i/>
          <w:iCs/>
          <w:color w:val="000000"/>
          <w:sz w:val="24"/>
          <w:szCs w:val="24"/>
        </w:rPr>
      </w:pPr>
      <w:r w:rsidRPr="00F94ED1">
        <w:rPr>
          <w:rFonts w:ascii="Arial" w:hAnsi="Arial" w:cs="Arial"/>
          <w:b/>
          <w:bCs/>
          <w:i/>
          <w:iCs/>
          <w:color w:val="000000"/>
          <w:sz w:val="24"/>
          <w:szCs w:val="24"/>
        </w:rPr>
        <w:t>Pastaba.</w:t>
      </w:r>
      <w:r w:rsidRPr="00F94ED1">
        <w:rPr>
          <w:rFonts w:ascii="Arial" w:hAnsi="Arial" w:cs="Arial"/>
          <w:i/>
          <w:iCs/>
          <w:color w:val="000000"/>
          <w:sz w:val="24"/>
          <w:szCs w:val="24"/>
        </w:rPr>
        <w:t> taikoma paramos paraiškoms, kurių teikimo laikotarpis prasidės po 2026 m. balandžio 23 d. įsakymo Nr. 3D-201 įsigaliojimo (2026-04-24).</w:t>
      </w:r>
    </w:p>
    <w:p w14:paraId="15416BE6" w14:textId="77777777" w:rsidR="00B231EE" w:rsidRPr="00F94ED1" w:rsidRDefault="00B231EE" w:rsidP="00F719B2">
      <w:pPr>
        <w:tabs>
          <w:tab w:val="left" w:pos="851"/>
          <w:tab w:val="left" w:pos="1276"/>
        </w:tabs>
        <w:ind w:firstLine="340"/>
        <w:jc w:val="both"/>
        <w:rPr>
          <w:rFonts w:ascii="Arial" w:hAnsi="Arial" w:cs="Arial"/>
          <w:sz w:val="24"/>
          <w:szCs w:val="24"/>
          <w:lang w:eastAsia="lt-LT"/>
        </w:rPr>
      </w:pPr>
    </w:p>
    <w:p w14:paraId="7137E05A" w14:textId="77777777" w:rsidR="00F94ED1" w:rsidRPr="00F94ED1" w:rsidRDefault="00B9594C" w:rsidP="00F719B2">
      <w:pPr>
        <w:ind w:firstLine="340"/>
        <w:jc w:val="both"/>
        <w:rPr>
          <w:rFonts w:ascii="Arial" w:hAnsi="Arial" w:cs="Arial"/>
          <w:sz w:val="24"/>
          <w:szCs w:val="24"/>
          <w:lang w:eastAsia="lt-LT"/>
        </w:rPr>
      </w:pPr>
      <w:r w:rsidRPr="00F94ED1">
        <w:rPr>
          <w:rFonts w:ascii="Arial" w:hAnsi="Arial" w:cs="Arial"/>
          <w:sz w:val="24"/>
          <w:szCs w:val="24"/>
          <w:lang w:eastAsia="lt-LT"/>
        </w:rPr>
        <w:t xml:space="preserve">5. kai kuriamas mišrusis ūkis, suteikiama </w:t>
      </w:r>
      <w:r w:rsidRPr="00F94ED1">
        <w:rPr>
          <w:rFonts w:ascii="Arial" w:hAnsi="Arial" w:cs="Arial"/>
          <w:b/>
          <w:bCs/>
          <w:sz w:val="24"/>
          <w:szCs w:val="24"/>
          <w:lang w:eastAsia="lt-LT"/>
        </w:rPr>
        <w:t>10 balų</w:t>
      </w:r>
      <w:r w:rsidRPr="00F94ED1">
        <w:rPr>
          <w:rFonts w:ascii="Arial" w:hAnsi="Arial" w:cs="Arial"/>
          <w:sz w:val="24"/>
          <w:szCs w:val="24"/>
          <w:lang w:eastAsia="lt-LT"/>
        </w:rPr>
        <w:t xml:space="preserve">. </w:t>
      </w:r>
    </w:p>
    <w:p w14:paraId="1B088638" w14:textId="6557B7ED" w:rsidR="00B9594C" w:rsidRPr="00F94ED1" w:rsidRDefault="00B9594C" w:rsidP="00F719B2">
      <w:pPr>
        <w:ind w:firstLine="340"/>
        <w:jc w:val="both"/>
        <w:rPr>
          <w:rFonts w:ascii="Arial" w:hAnsi="Arial" w:cs="Arial"/>
          <w:sz w:val="24"/>
          <w:szCs w:val="24"/>
          <w:lang w:eastAsia="lt-LT"/>
        </w:rPr>
      </w:pPr>
      <w:r w:rsidRPr="00F94ED1">
        <w:rPr>
          <w:rFonts w:ascii="Arial" w:hAnsi="Arial" w:cs="Arial"/>
          <w:sz w:val="24"/>
          <w:szCs w:val="24"/>
          <w:lang w:eastAsia="lt-LT"/>
        </w:rPr>
        <w:t>Mišriuoju ūkiu laikomas ūkis, kurio pajamos, įgyvendinus verslo planą, gaunamos iš daugiau nei vieno žemės ūkio sektoriaus ir kurio pajamos nė iš vieno žemės ūkio sektoriaus nesudaro daugiau kaip 50 proc. visų ūkio veiklos pajamų, išskyrus, jei pajamos gaunamos tik iš dviejų žemės ūkio sektorių. Jei pajamos gaunamos iš dviejų žemės ūkio sektorių, pajamos iš kiekvieno sektoriaus turi sudaryti ne mažiau kaip 30 proc. visų ūkio veiklos pajamų. Atitiktis tikrinama pagal pažymą, parengtą vadovaujantis Žemės ūkio veiklos pajamų įvertinimo metodika. Pildant pažymą, prie daržininkystės pajamų</w:t>
      </w:r>
      <w:r w:rsidRPr="00F94ED1">
        <w:rPr>
          <w:rFonts w:ascii="Arial" w:hAnsi="Arial" w:cs="Arial"/>
          <w:sz w:val="24"/>
          <w:szCs w:val="24"/>
        </w:rPr>
        <w:t xml:space="preserve"> </w:t>
      </w:r>
      <w:r w:rsidRPr="00F94ED1">
        <w:rPr>
          <w:rFonts w:ascii="Arial" w:hAnsi="Arial" w:cs="Arial"/>
          <w:sz w:val="24"/>
          <w:szCs w:val="24"/>
          <w:lang w:eastAsia="lt-LT"/>
        </w:rPr>
        <w:t xml:space="preserve">nepriskiriamos pajamos, susijusios su nenatūraliai išdžiovintų ir natūraliai išdžiūvusių ankštinių daržovių gamyba arba perdirbimu. </w:t>
      </w:r>
    </w:p>
    <w:p w14:paraId="3F3EF848" w14:textId="77777777" w:rsidR="00F94ED1" w:rsidRPr="00F94ED1" w:rsidRDefault="00F94ED1" w:rsidP="00F719B2">
      <w:pPr>
        <w:tabs>
          <w:tab w:val="left" w:pos="851"/>
          <w:tab w:val="left" w:pos="1276"/>
        </w:tabs>
        <w:ind w:firstLine="340"/>
        <w:jc w:val="both"/>
        <w:rPr>
          <w:rFonts w:ascii="Arial" w:hAnsi="Arial" w:cs="Arial"/>
          <w:sz w:val="24"/>
          <w:szCs w:val="24"/>
        </w:rPr>
      </w:pPr>
    </w:p>
    <w:p w14:paraId="54419793" w14:textId="7B066433" w:rsidR="00F94ED1" w:rsidRPr="00F94ED1" w:rsidRDefault="00B9594C" w:rsidP="00F719B2">
      <w:pPr>
        <w:tabs>
          <w:tab w:val="left" w:pos="851"/>
          <w:tab w:val="left" w:pos="1276"/>
        </w:tabs>
        <w:ind w:firstLine="340"/>
        <w:jc w:val="both"/>
        <w:rPr>
          <w:rFonts w:ascii="Arial" w:hAnsi="Arial" w:cs="Arial"/>
          <w:sz w:val="24"/>
          <w:szCs w:val="24"/>
        </w:rPr>
      </w:pPr>
      <w:r w:rsidRPr="00F94ED1">
        <w:rPr>
          <w:rFonts w:ascii="Arial" w:hAnsi="Arial" w:cs="Arial"/>
          <w:sz w:val="24"/>
          <w:szCs w:val="24"/>
        </w:rPr>
        <w:t xml:space="preserve">6. kai kuriamas gyvulininkystės ūkis vietovėse, kuriose esama gamtinių ar kitų specifinių kliūčių, suteikiama </w:t>
      </w:r>
      <w:r w:rsidRPr="00F94ED1">
        <w:rPr>
          <w:rFonts w:ascii="Arial" w:hAnsi="Arial" w:cs="Arial"/>
          <w:b/>
          <w:bCs/>
          <w:sz w:val="24"/>
          <w:szCs w:val="24"/>
        </w:rPr>
        <w:t>10 balų</w:t>
      </w:r>
      <w:r w:rsidRPr="00F94ED1">
        <w:rPr>
          <w:rFonts w:ascii="Arial" w:hAnsi="Arial" w:cs="Arial"/>
          <w:sz w:val="24"/>
          <w:szCs w:val="24"/>
        </w:rPr>
        <w:t xml:space="preserve">. </w:t>
      </w:r>
    </w:p>
    <w:p w14:paraId="3111C5E5" w14:textId="5B6BDE72" w:rsidR="00B9594C" w:rsidRPr="00F94ED1" w:rsidRDefault="00B9594C" w:rsidP="00F719B2">
      <w:pPr>
        <w:tabs>
          <w:tab w:val="left" w:pos="851"/>
          <w:tab w:val="left" w:pos="1276"/>
        </w:tabs>
        <w:ind w:firstLine="340"/>
        <w:jc w:val="both"/>
        <w:rPr>
          <w:rFonts w:ascii="Arial" w:hAnsi="Arial" w:cs="Arial"/>
          <w:sz w:val="24"/>
          <w:szCs w:val="24"/>
          <w:lang w:eastAsia="lt-LT"/>
        </w:rPr>
      </w:pPr>
      <w:r w:rsidRPr="00F94ED1">
        <w:rPr>
          <w:rFonts w:ascii="Arial" w:hAnsi="Arial" w:cs="Arial"/>
          <w:sz w:val="24"/>
          <w:szCs w:val="24"/>
        </w:rPr>
        <w:t xml:space="preserve">Ūkis laikomas esančiu vietovėse, kuriose esama gamtinių ar kitokių specifinių kliūčių, jei šiose vietovėse yra ne mažiau kaip 50 proc. jo ŽŪN ploto (vietovės, kuriose esama gamtinių ar kitų specifinių kliūčių, yra nurodytos </w:t>
      </w:r>
      <w:r w:rsidR="002951AE" w:rsidRPr="00F94ED1">
        <w:rPr>
          <w:rFonts w:ascii="Arial" w:hAnsi="Arial" w:cs="Arial"/>
          <w:sz w:val="24"/>
          <w:szCs w:val="24"/>
        </w:rPr>
        <w:t>SP</w:t>
      </w:r>
      <w:r w:rsidRPr="00F94ED1">
        <w:rPr>
          <w:rFonts w:ascii="Arial" w:hAnsi="Arial" w:cs="Arial"/>
          <w:sz w:val="24"/>
          <w:szCs w:val="24"/>
        </w:rPr>
        <w:t xml:space="preserve"> intervencinės priemonės „Vietovės su gamtinėmis ar kitomis specifinėmis kliūtimis“ įgyvendinimo taisyklėse). Gyvulininkystės ūkiu laikomas ūkis, kurio pajamos iš gyvulininkystės įgyvendinus verslo planą sudaro daugiau kaip 50 proc. visų ūkio veiklos pajamų. Gyvulininkystės pajamos nustatomos pagal pažymą, parengtą vadovaujantis Žemės ūkio veiklos pajamų įvertinimo metodika; </w:t>
      </w:r>
    </w:p>
    <w:p w14:paraId="20C94B3A" w14:textId="77777777" w:rsidR="00F94ED1" w:rsidRPr="00F94ED1" w:rsidRDefault="00F94ED1" w:rsidP="00F719B2">
      <w:pPr>
        <w:tabs>
          <w:tab w:val="left" w:pos="851"/>
          <w:tab w:val="left" w:pos="1276"/>
        </w:tabs>
        <w:ind w:firstLine="340"/>
        <w:jc w:val="both"/>
        <w:rPr>
          <w:rFonts w:ascii="Arial" w:hAnsi="Arial" w:cs="Arial"/>
          <w:sz w:val="24"/>
          <w:szCs w:val="24"/>
        </w:rPr>
      </w:pPr>
    </w:p>
    <w:p w14:paraId="63898C85" w14:textId="6DC7B074" w:rsidR="00F94ED1" w:rsidRPr="00F94ED1" w:rsidRDefault="00B9594C" w:rsidP="00F719B2">
      <w:pPr>
        <w:tabs>
          <w:tab w:val="left" w:pos="851"/>
          <w:tab w:val="left" w:pos="1276"/>
        </w:tabs>
        <w:ind w:firstLine="340"/>
        <w:jc w:val="both"/>
        <w:rPr>
          <w:rFonts w:ascii="Arial" w:hAnsi="Arial" w:cs="Arial"/>
          <w:sz w:val="24"/>
          <w:szCs w:val="24"/>
        </w:rPr>
      </w:pPr>
      <w:r w:rsidRPr="00F94ED1">
        <w:rPr>
          <w:rFonts w:ascii="Arial" w:hAnsi="Arial" w:cs="Arial"/>
          <w:sz w:val="24"/>
          <w:szCs w:val="24"/>
        </w:rPr>
        <w:t xml:space="preserve">7. kai į pareiškėjo žemės ūkio valdą nėra įtrauktų sklypų, kurie 2 metų laikotarpyje iki paraiškos pateikimo buvo artimojo giminaičio ar susijusio asmens žemės ūkio valdoje, suteikiama </w:t>
      </w:r>
      <w:r w:rsidRPr="00F94ED1">
        <w:rPr>
          <w:rFonts w:ascii="Arial" w:hAnsi="Arial" w:cs="Arial"/>
          <w:b/>
          <w:bCs/>
          <w:sz w:val="24"/>
          <w:szCs w:val="24"/>
        </w:rPr>
        <w:t>20 balų</w:t>
      </w:r>
      <w:r w:rsidRPr="00F94ED1">
        <w:rPr>
          <w:rFonts w:ascii="Arial" w:hAnsi="Arial" w:cs="Arial"/>
          <w:sz w:val="24"/>
          <w:szCs w:val="24"/>
        </w:rPr>
        <w:t>.</w:t>
      </w:r>
    </w:p>
    <w:p w14:paraId="304F2483" w14:textId="2EE0A428" w:rsidR="00B9594C" w:rsidRPr="00F94ED1" w:rsidRDefault="00B9594C" w:rsidP="00F719B2">
      <w:pPr>
        <w:tabs>
          <w:tab w:val="left" w:pos="851"/>
          <w:tab w:val="left" w:pos="1276"/>
        </w:tabs>
        <w:ind w:firstLine="340"/>
        <w:jc w:val="both"/>
        <w:rPr>
          <w:rFonts w:ascii="Arial" w:hAnsi="Arial" w:cs="Arial"/>
          <w:sz w:val="24"/>
          <w:szCs w:val="24"/>
          <w:lang w:eastAsia="lt-LT"/>
        </w:rPr>
      </w:pPr>
      <w:r w:rsidRPr="00F94ED1">
        <w:rPr>
          <w:rFonts w:ascii="Arial" w:hAnsi="Arial" w:cs="Arial"/>
          <w:sz w:val="24"/>
          <w:szCs w:val="24"/>
        </w:rPr>
        <w:t xml:space="preserve">Tikrinama pagal paraiškos pateikimo datos duomenis, ar sklypai, kurie įtraukti į pareiškėjo valdą, 2 metų laikotarpyje iki paraiškos pateikimo dienos nebuvo artimojo giminaičio (taikoma fiziniams asmenims) ar susijusio asmens (taikoma juridiniams asmenims) žemės ūkio valdoje). </w:t>
      </w:r>
    </w:p>
    <w:p w14:paraId="0A4B6B26" w14:textId="77777777" w:rsidR="00B61F82" w:rsidRPr="00F94ED1" w:rsidRDefault="00B61F82" w:rsidP="00F719B2">
      <w:pPr>
        <w:rPr>
          <w:rFonts w:ascii="Arial" w:eastAsia="Times New Roman" w:hAnsi="Arial" w:cs="Arial"/>
          <w:sz w:val="24"/>
          <w:szCs w:val="24"/>
          <w:lang w:eastAsia="lt-LT"/>
        </w:rPr>
      </w:pPr>
    </w:p>
    <w:p w14:paraId="0A5A4290" w14:textId="77777777" w:rsidR="00B61F82" w:rsidRPr="00F94ED1" w:rsidRDefault="00B61F82" w:rsidP="00F719B2">
      <w:pPr>
        <w:rPr>
          <w:rFonts w:ascii="Arial" w:eastAsia="Times New Roman" w:hAnsi="Arial" w:cs="Arial"/>
          <w:sz w:val="24"/>
          <w:szCs w:val="24"/>
          <w:lang w:eastAsia="lt-LT"/>
        </w:rPr>
      </w:pPr>
      <w:r w:rsidRPr="00F94ED1">
        <w:rPr>
          <w:rFonts w:ascii="Arial" w:eastAsia="Times New Roman" w:hAnsi="Arial" w:cs="Arial"/>
          <w:sz w:val="24"/>
          <w:szCs w:val="24"/>
          <w:lang w:eastAsia="lt-LT"/>
        </w:rPr>
        <w:t xml:space="preserve">Norint gauti paramą, būtina surinkti </w:t>
      </w:r>
      <w:r w:rsidRPr="00F94ED1">
        <w:rPr>
          <w:rFonts w:ascii="Arial" w:eastAsia="Times New Roman" w:hAnsi="Arial" w:cs="Arial"/>
          <w:b/>
          <w:bCs/>
          <w:sz w:val="24"/>
          <w:szCs w:val="24"/>
          <w:lang w:val="en-US" w:eastAsia="lt-LT"/>
        </w:rPr>
        <w:t>3</w:t>
      </w:r>
      <w:r w:rsidRPr="00F94ED1">
        <w:rPr>
          <w:rFonts w:ascii="Arial" w:eastAsia="Times New Roman" w:hAnsi="Arial" w:cs="Arial"/>
          <w:b/>
          <w:bCs/>
          <w:sz w:val="24"/>
          <w:szCs w:val="24"/>
          <w:lang w:eastAsia="lt-LT"/>
        </w:rPr>
        <w:t>0 atrankos balų</w:t>
      </w:r>
      <w:r w:rsidRPr="00F94ED1">
        <w:rPr>
          <w:rFonts w:ascii="Arial" w:eastAsia="Times New Roman" w:hAnsi="Arial" w:cs="Arial"/>
          <w:sz w:val="24"/>
          <w:szCs w:val="24"/>
          <w:lang w:eastAsia="lt-LT"/>
        </w:rPr>
        <w:t>. Paraiškos, nesurinkusios šio balų skaičiaus,  bus atmestos ir toliau nebevertinamos.</w:t>
      </w:r>
    </w:p>
    <w:p w14:paraId="43B832CD" w14:textId="77777777" w:rsidR="00B61F82" w:rsidRPr="00F94ED1" w:rsidRDefault="00B61F82" w:rsidP="00F719B2">
      <w:pPr>
        <w:jc w:val="both"/>
        <w:rPr>
          <w:rFonts w:ascii="Arial" w:eastAsia="Times New Roman" w:hAnsi="Arial" w:cs="Arial"/>
          <w:sz w:val="24"/>
          <w:szCs w:val="24"/>
          <w:lang w:eastAsia="lt-LT"/>
        </w:rPr>
      </w:pPr>
      <w:r w:rsidRPr="00F94ED1">
        <w:rPr>
          <w:rFonts w:ascii="Arial" w:eastAsia="Times New Roman" w:hAnsi="Arial" w:cs="Arial"/>
          <w:sz w:val="24"/>
          <w:szCs w:val="24"/>
          <w:lang w:eastAsia="lt-LT"/>
        </w:rPr>
        <w:t> </w:t>
      </w:r>
    </w:p>
    <w:p w14:paraId="6FB8F0DE" w14:textId="1327C51D" w:rsidR="00B61F82" w:rsidRPr="00F94ED1" w:rsidRDefault="00B231EE" w:rsidP="00F719B2">
      <w:pPr>
        <w:rPr>
          <w:rFonts w:ascii="Arial" w:hAnsi="Arial" w:cs="Arial"/>
          <w:sz w:val="24"/>
          <w:szCs w:val="24"/>
          <w:lang w:val="en-US"/>
        </w:rPr>
      </w:pPr>
      <w:r w:rsidRPr="00F94ED1">
        <w:rPr>
          <w:rFonts w:ascii="Arial" w:hAnsi="Arial" w:cs="Arial"/>
          <w:sz w:val="24"/>
          <w:szCs w:val="24"/>
        </w:rPr>
        <w:t>Lengvatinei paskolai gauti pateiktų paramos paraiškų atrankos vertinimas neatliekamas.</w:t>
      </w:r>
    </w:p>
    <w:sectPr w:rsidR="00B61F82" w:rsidRPr="00F94E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5E2"/>
    <w:multiLevelType w:val="multilevel"/>
    <w:tmpl w:val="D9FC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3729C"/>
    <w:multiLevelType w:val="hybridMultilevel"/>
    <w:tmpl w:val="5740C6EE"/>
    <w:lvl w:ilvl="0" w:tplc="2D70710C">
      <w:start w:val="1"/>
      <w:numFmt w:val="bullet"/>
      <w:lvlText w:val=""/>
      <w:lvlJc w:val="left"/>
      <w:pPr>
        <w:tabs>
          <w:tab w:val="num" w:pos="720"/>
        </w:tabs>
        <w:ind w:left="720" w:hanging="360"/>
      </w:pPr>
      <w:rPr>
        <w:rFonts w:ascii="Wingdings" w:hAnsi="Wingdings" w:hint="default"/>
      </w:rPr>
    </w:lvl>
    <w:lvl w:ilvl="1" w:tplc="5700ECC4" w:tentative="1">
      <w:start w:val="1"/>
      <w:numFmt w:val="bullet"/>
      <w:lvlText w:val=""/>
      <w:lvlJc w:val="left"/>
      <w:pPr>
        <w:tabs>
          <w:tab w:val="num" w:pos="1440"/>
        </w:tabs>
        <w:ind w:left="1440" w:hanging="360"/>
      </w:pPr>
      <w:rPr>
        <w:rFonts w:ascii="Wingdings" w:hAnsi="Wingdings" w:hint="default"/>
      </w:rPr>
    </w:lvl>
    <w:lvl w:ilvl="2" w:tplc="AB8CA312" w:tentative="1">
      <w:start w:val="1"/>
      <w:numFmt w:val="bullet"/>
      <w:lvlText w:val=""/>
      <w:lvlJc w:val="left"/>
      <w:pPr>
        <w:tabs>
          <w:tab w:val="num" w:pos="2160"/>
        </w:tabs>
        <w:ind w:left="2160" w:hanging="360"/>
      </w:pPr>
      <w:rPr>
        <w:rFonts w:ascii="Wingdings" w:hAnsi="Wingdings" w:hint="default"/>
      </w:rPr>
    </w:lvl>
    <w:lvl w:ilvl="3" w:tplc="513A6FBA" w:tentative="1">
      <w:start w:val="1"/>
      <w:numFmt w:val="bullet"/>
      <w:lvlText w:val=""/>
      <w:lvlJc w:val="left"/>
      <w:pPr>
        <w:tabs>
          <w:tab w:val="num" w:pos="2880"/>
        </w:tabs>
        <w:ind w:left="2880" w:hanging="360"/>
      </w:pPr>
      <w:rPr>
        <w:rFonts w:ascii="Wingdings" w:hAnsi="Wingdings" w:hint="default"/>
      </w:rPr>
    </w:lvl>
    <w:lvl w:ilvl="4" w:tplc="A056AE56" w:tentative="1">
      <w:start w:val="1"/>
      <w:numFmt w:val="bullet"/>
      <w:lvlText w:val=""/>
      <w:lvlJc w:val="left"/>
      <w:pPr>
        <w:tabs>
          <w:tab w:val="num" w:pos="3600"/>
        </w:tabs>
        <w:ind w:left="3600" w:hanging="360"/>
      </w:pPr>
      <w:rPr>
        <w:rFonts w:ascii="Wingdings" w:hAnsi="Wingdings" w:hint="default"/>
      </w:rPr>
    </w:lvl>
    <w:lvl w:ilvl="5" w:tplc="CD1A07EC" w:tentative="1">
      <w:start w:val="1"/>
      <w:numFmt w:val="bullet"/>
      <w:lvlText w:val=""/>
      <w:lvlJc w:val="left"/>
      <w:pPr>
        <w:tabs>
          <w:tab w:val="num" w:pos="4320"/>
        </w:tabs>
        <w:ind w:left="4320" w:hanging="360"/>
      </w:pPr>
      <w:rPr>
        <w:rFonts w:ascii="Wingdings" w:hAnsi="Wingdings" w:hint="default"/>
      </w:rPr>
    </w:lvl>
    <w:lvl w:ilvl="6" w:tplc="5BE26F34" w:tentative="1">
      <w:start w:val="1"/>
      <w:numFmt w:val="bullet"/>
      <w:lvlText w:val=""/>
      <w:lvlJc w:val="left"/>
      <w:pPr>
        <w:tabs>
          <w:tab w:val="num" w:pos="5040"/>
        </w:tabs>
        <w:ind w:left="5040" w:hanging="360"/>
      </w:pPr>
      <w:rPr>
        <w:rFonts w:ascii="Wingdings" w:hAnsi="Wingdings" w:hint="default"/>
      </w:rPr>
    </w:lvl>
    <w:lvl w:ilvl="7" w:tplc="95426DE0" w:tentative="1">
      <w:start w:val="1"/>
      <w:numFmt w:val="bullet"/>
      <w:lvlText w:val=""/>
      <w:lvlJc w:val="left"/>
      <w:pPr>
        <w:tabs>
          <w:tab w:val="num" w:pos="5760"/>
        </w:tabs>
        <w:ind w:left="5760" w:hanging="360"/>
      </w:pPr>
      <w:rPr>
        <w:rFonts w:ascii="Wingdings" w:hAnsi="Wingdings" w:hint="default"/>
      </w:rPr>
    </w:lvl>
    <w:lvl w:ilvl="8" w:tplc="B72EE1D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709E2"/>
    <w:multiLevelType w:val="hybridMultilevel"/>
    <w:tmpl w:val="B84E0EDA"/>
    <w:lvl w:ilvl="0" w:tplc="20549482">
      <w:start w:val="1"/>
      <w:numFmt w:val="bullet"/>
      <w:lvlText w:val=""/>
      <w:lvlJc w:val="left"/>
      <w:pPr>
        <w:tabs>
          <w:tab w:val="num" w:pos="720"/>
        </w:tabs>
        <w:ind w:left="720" w:hanging="360"/>
      </w:pPr>
      <w:rPr>
        <w:rFonts w:ascii="Wingdings" w:hAnsi="Wingdings" w:hint="default"/>
      </w:rPr>
    </w:lvl>
    <w:lvl w:ilvl="1" w:tplc="BB5EA334" w:tentative="1">
      <w:start w:val="1"/>
      <w:numFmt w:val="bullet"/>
      <w:lvlText w:val=""/>
      <w:lvlJc w:val="left"/>
      <w:pPr>
        <w:tabs>
          <w:tab w:val="num" w:pos="1440"/>
        </w:tabs>
        <w:ind w:left="1440" w:hanging="360"/>
      </w:pPr>
      <w:rPr>
        <w:rFonts w:ascii="Wingdings" w:hAnsi="Wingdings" w:hint="default"/>
      </w:rPr>
    </w:lvl>
    <w:lvl w:ilvl="2" w:tplc="B2D62BD2" w:tentative="1">
      <w:start w:val="1"/>
      <w:numFmt w:val="bullet"/>
      <w:lvlText w:val=""/>
      <w:lvlJc w:val="left"/>
      <w:pPr>
        <w:tabs>
          <w:tab w:val="num" w:pos="2160"/>
        </w:tabs>
        <w:ind w:left="2160" w:hanging="360"/>
      </w:pPr>
      <w:rPr>
        <w:rFonts w:ascii="Wingdings" w:hAnsi="Wingdings" w:hint="default"/>
      </w:rPr>
    </w:lvl>
    <w:lvl w:ilvl="3" w:tplc="6ACA511E" w:tentative="1">
      <w:start w:val="1"/>
      <w:numFmt w:val="bullet"/>
      <w:lvlText w:val=""/>
      <w:lvlJc w:val="left"/>
      <w:pPr>
        <w:tabs>
          <w:tab w:val="num" w:pos="2880"/>
        </w:tabs>
        <w:ind w:left="2880" w:hanging="360"/>
      </w:pPr>
      <w:rPr>
        <w:rFonts w:ascii="Wingdings" w:hAnsi="Wingdings" w:hint="default"/>
      </w:rPr>
    </w:lvl>
    <w:lvl w:ilvl="4" w:tplc="7CFC6852" w:tentative="1">
      <w:start w:val="1"/>
      <w:numFmt w:val="bullet"/>
      <w:lvlText w:val=""/>
      <w:lvlJc w:val="left"/>
      <w:pPr>
        <w:tabs>
          <w:tab w:val="num" w:pos="3600"/>
        </w:tabs>
        <w:ind w:left="3600" w:hanging="360"/>
      </w:pPr>
      <w:rPr>
        <w:rFonts w:ascii="Wingdings" w:hAnsi="Wingdings" w:hint="default"/>
      </w:rPr>
    </w:lvl>
    <w:lvl w:ilvl="5" w:tplc="74229C64" w:tentative="1">
      <w:start w:val="1"/>
      <w:numFmt w:val="bullet"/>
      <w:lvlText w:val=""/>
      <w:lvlJc w:val="left"/>
      <w:pPr>
        <w:tabs>
          <w:tab w:val="num" w:pos="4320"/>
        </w:tabs>
        <w:ind w:left="4320" w:hanging="360"/>
      </w:pPr>
      <w:rPr>
        <w:rFonts w:ascii="Wingdings" w:hAnsi="Wingdings" w:hint="default"/>
      </w:rPr>
    </w:lvl>
    <w:lvl w:ilvl="6" w:tplc="3D0412CE" w:tentative="1">
      <w:start w:val="1"/>
      <w:numFmt w:val="bullet"/>
      <w:lvlText w:val=""/>
      <w:lvlJc w:val="left"/>
      <w:pPr>
        <w:tabs>
          <w:tab w:val="num" w:pos="5040"/>
        </w:tabs>
        <w:ind w:left="5040" w:hanging="360"/>
      </w:pPr>
      <w:rPr>
        <w:rFonts w:ascii="Wingdings" w:hAnsi="Wingdings" w:hint="default"/>
      </w:rPr>
    </w:lvl>
    <w:lvl w:ilvl="7" w:tplc="ED56929C" w:tentative="1">
      <w:start w:val="1"/>
      <w:numFmt w:val="bullet"/>
      <w:lvlText w:val=""/>
      <w:lvlJc w:val="left"/>
      <w:pPr>
        <w:tabs>
          <w:tab w:val="num" w:pos="5760"/>
        </w:tabs>
        <w:ind w:left="5760" w:hanging="360"/>
      </w:pPr>
      <w:rPr>
        <w:rFonts w:ascii="Wingdings" w:hAnsi="Wingdings" w:hint="default"/>
      </w:rPr>
    </w:lvl>
    <w:lvl w:ilvl="8" w:tplc="10B8DC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8A7E44"/>
    <w:multiLevelType w:val="hybridMultilevel"/>
    <w:tmpl w:val="06FAF8C6"/>
    <w:lvl w:ilvl="0" w:tplc="8974A05A">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47124005"/>
    <w:multiLevelType w:val="hybridMultilevel"/>
    <w:tmpl w:val="72105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CA1CDD"/>
    <w:multiLevelType w:val="hybridMultilevel"/>
    <w:tmpl w:val="E188A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E17854"/>
    <w:multiLevelType w:val="hybridMultilevel"/>
    <w:tmpl w:val="1FF68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B14A7C"/>
    <w:multiLevelType w:val="hybridMultilevel"/>
    <w:tmpl w:val="9ACCE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665730"/>
    <w:multiLevelType w:val="hybridMultilevel"/>
    <w:tmpl w:val="2CC01C28"/>
    <w:lvl w:ilvl="0" w:tplc="6E02B156">
      <w:start w:val="1"/>
      <w:numFmt w:val="bullet"/>
      <w:lvlText w:val=""/>
      <w:lvlJc w:val="left"/>
      <w:pPr>
        <w:tabs>
          <w:tab w:val="num" w:pos="720"/>
        </w:tabs>
        <w:ind w:left="720" w:hanging="360"/>
      </w:pPr>
      <w:rPr>
        <w:rFonts w:ascii="Wingdings" w:hAnsi="Wingdings" w:hint="default"/>
      </w:rPr>
    </w:lvl>
    <w:lvl w:ilvl="1" w:tplc="E7CE6F48" w:tentative="1">
      <w:start w:val="1"/>
      <w:numFmt w:val="bullet"/>
      <w:lvlText w:val=""/>
      <w:lvlJc w:val="left"/>
      <w:pPr>
        <w:tabs>
          <w:tab w:val="num" w:pos="1440"/>
        </w:tabs>
        <w:ind w:left="1440" w:hanging="360"/>
      </w:pPr>
      <w:rPr>
        <w:rFonts w:ascii="Wingdings" w:hAnsi="Wingdings" w:hint="default"/>
      </w:rPr>
    </w:lvl>
    <w:lvl w:ilvl="2" w:tplc="84542074" w:tentative="1">
      <w:start w:val="1"/>
      <w:numFmt w:val="bullet"/>
      <w:lvlText w:val=""/>
      <w:lvlJc w:val="left"/>
      <w:pPr>
        <w:tabs>
          <w:tab w:val="num" w:pos="2160"/>
        </w:tabs>
        <w:ind w:left="2160" w:hanging="360"/>
      </w:pPr>
      <w:rPr>
        <w:rFonts w:ascii="Wingdings" w:hAnsi="Wingdings" w:hint="default"/>
      </w:rPr>
    </w:lvl>
    <w:lvl w:ilvl="3" w:tplc="8372434A" w:tentative="1">
      <w:start w:val="1"/>
      <w:numFmt w:val="bullet"/>
      <w:lvlText w:val=""/>
      <w:lvlJc w:val="left"/>
      <w:pPr>
        <w:tabs>
          <w:tab w:val="num" w:pos="2880"/>
        </w:tabs>
        <w:ind w:left="2880" w:hanging="360"/>
      </w:pPr>
      <w:rPr>
        <w:rFonts w:ascii="Wingdings" w:hAnsi="Wingdings" w:hint="default"/>
      </w:rPr>
    </w:lvl>
    <w:lvl w:ilvl="4" w:tplc="0442AE26" w:tentative="1">
      <w:start w:val="1"/>
      <w:numFmt w:val="bullet"/>
      <w:lvlText w:val=""/>
      <w:lvlJc w:val="left"/>
      <w:pPr>
        <w:tabs>
          <w:tab w:val="num" w:pos="3600"/>
        </w:tabs>
        <w:ind w:left="3600" w:hanging="360"/>
      </w:pPr>
      <w:rPr>
        <w:rFonts w:ascii="Wingdings" w:hAnsi="Wingdings" w:hint="default"/>
      </w:rPr>
    </w:lvl>
    <w:lvl w:ilvl="5" w:tplc="8D384848" w:tentative="1">
      <w:start w:val="1"/>
      <w:numFmt w:val="bullet"/>
      <w:lvlText w:val=""/>
      <w:lvlJc w:val="left"/>
      <w:pPr>
        <w:tabs>
          <w:tab w:val="num" w:pos="4320"/>
        </w:tabs>
        <w:ind w:left="4320" w:hanging="360"/>
      </w:pPr>
      <w:rPr>
        <w:rFonts w:ascii="Wingdings" w:hAnsi="Wingdings" w:hint="default"/>
      </w:rPr>
    </w:lvl>
    <w:lvl w:ilvl="6" w:tplc="68F03A2A" w:tentative="1">
      <w:start w:val="1"/>
      <w:numFmt w:val="bullet"/>
      <w:lvlText w:val=""/>
      <w:lvlJc w:val="left"/>
      <w:pPr>
        <w:tabs>
          <w:tab w:val="num" w:pos="5040"/>
        </w:tabs>
        <w:ind w:left="5040" w:hanging="360"/>
      </w:pPr>
      <w:rPr>
        <w:rFonts w:ascii="Wingdings" w:hAnsi="Wingdings" w:hint="default"/>
      </w:rPr>
    </w:lvl>
    <w:lvl w:ilvl="7" w:tplc="ED5C6270" w:tentative="1">
      <w:start w:val="1"/>
      <w:numFmt w:val="bullet"/>
      <w:lvlText w:val=""/>
      <w:lvlJc w:val="left"/>
      <w:pPr>
        <w:tabs>
          <w:tab w:val="num" w:pos="5760"/>
        </w:tabs>
        <w:ind w:left="5760" w:hanging="360"/>
      </w:pPr>
      <w:rPr>
        <w:rFonts w:ascii="Wingdings" w:hAnsi="Wingdings" w:hint="default"/>
      </w:rPr>
    </w:lvl>
    <w:lvl w:ilvl="8" w:tplc="DAB013E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B0573"/>
    <w:multiLevelType w:val="hybridMultilevel"/>
    <w:tmpl w:val="72C46BBC"/>
    <w:lvl w:ilvl="0" w:tplc="92008034">
      <w:start w:val="1"/>
      <w:numFmt w:val="bullet"/>
      <w:lvlText w:val=""/>
      <w:lvlJc w:val="left"/>
      <w:pPr>
        <w:tabs>
          <w:tab w:val="num" w:pos="501"/>
        </w:tabs>
        <w:ind w:left="501" w:hanging="360"/>
      </w:pPr>
      <w:rPr>
        <w:rFonts w:ascii="Wingdings" w:hAnsi="Wingdings" w:hint="default"/>
      </w:rPr>
    </w:lvl>
    <w:lvl w:ilvl="1" w:tplc="E6CCC212" w:tentative="1">
      <w:start w:val="1"/>
      <w:numFmt w:val="bullet"/>
      <w:lvlText w:val=""/>
      <w:lvlJc w:val="left"/>
      <w:pPr>
        <w:tabs>
          <w:tab w:val="num" w:pos="1221"/>
        </w:tabs>
        <w:ind w:left="1221" w:hanging="360"/>
      </w:pPr>
      <w:rPr>
        <w:rFonts w:ascii="Wingdings" w:hAnsi="Wingdings" w:hint="default"/>
      </w:rPr>
    </w:lvl>
    <w:lvl w:ilvl="2" w:tplc="E83CD37C" w:tentative="1">
      <w:start w:val="1"/>
      <w:numFmt w:val="bullet"/>
      <w:lvlText w:val=""/>
      <w:lvlJc w:val="left"/>
      <w:pPr>
        <w:tabs>
          <w:tab w:val="num" w:pos="1941"/>
        </w:tabs>
        <w:ind w:left="1941" w:hanging="360"/>
      </w:pPr>
      <w:rPr>
        <w:rFonts w:ascii="Wingdings" w:hAnsi="Wingdings" w:hint="default"/>
      </w:rPr>
    </w:lvl>
    <w:lvl w:ilvl="3" w:tplc="EE9EE3F6" w:tentative="1">
      <w:start w:val="1"/>
      <w:numFmt w:val="bullet"/>
      <w:lvlText w:val=""/>
      <w:lvlJc w:val="left"/>
      <w:pPr>
        <w:tabs>
          <w:tab w:val="num" w:pos="2661"/>
        </w:tabs>
        <w:ind w:left="2661" w:hanging="360"/>
      </w:pPr>
      <w:rPr>
        <w:rFonts w:ascii="Wingdings" w:hAnsi="Wingdings" w:hint="default"/>
      </w:rPr>
    </w:lvl>
    <w:lvl w:ilvl="4" w:tplc="D2A00454" w:tentative="1">
      <w:start w:val="1"/>
      <w:numFmt w:val="bullet"/>
      <w:lvlText w:val=""/>
      <w:lvlJc w:val="left"/>
      <w:pPr>
        <w:tabs>
          <w:tab w:val="num" w:pos="3381"/>
        </w:tabs>
        <w:ind w:left="3381" w:hanging="360"/>
      </w:pPr>
      <w:rPr>
        <w:rFonts w:ascii="Wingdings" w:hAnsi="Wingdings" w:hint="default"/>
      </w:rPr>
    </w:lvl>
    <w:lvl w:ilvl="5" w:tplc="775ED10A" w:tentative="1">
      <w:start w:val="1"/>
      <w:numFmt w:val="bullet"/>
      <w:lvlText w:val=""/>
      <w:lvlJc w:val="left"/>
      <w:pPr>
        <w:tabs>
          <w:tab w:val="num" w:pos="4101"/>
        </w:tabs>
        <w:ind w:left="4101" w:hanging="360"/>
      </w:pPr>
      <w:rPr>
        <w:rFonts w:ascii="Wingdings" w:hAnsi="Wingdings" w:hint="default"/>
      </w:rPr>
    </w:lvl>
    <w:lvl w:ilvl="6" w:tplc="2D08DA3C" w:tentative="1">
      <w:start w:val="1"/>
      <w:numFmt w:val="bullet"/>
      <w:lvlText w:val=""/>
      <w:lvlJc w:val="left"/>
      <w:pPr>
        <w:tabs>
          <w:tab w:val="num" w:pos="4821"/>
        </w:tabs>
        <w:ind w:left="4821" w:hanging="360"/>
      </w:pPr>
      <w:rPr>
        <w:rFonts w:ascii="Wingdings" w:hAnsi="Wingdings" w:hint="default"/>
      </w:rPr>
    </w:lvl>
    <w:lvl w:ilvl="7" w:tplc="D8DE598C" w:tentative="1">
      <w:start w:val="1"/>
      <w:numFmt w:val="bullet"/>
      <w:lvlText w:val=""/>
      <w:lvlJc w:val="left"/>
      <w:pPr>
        <w:tabs>
          <w:tab w:val="num" w:pos="5541"/>
        </w:tabs>
        <w:ind w:left="5541" w:hanging="360"/>
      </w:pPr>
      <w:rPr>
        <w:rFonts w:ascii="Wingdings" w:hAnsi="Wingdings" w:hint="default"/>
      </w:rPr>
    </w:lvl>
    <w:lvl w:ilvl="8" w:tplc="E9F602AA" w:tentative="1">
      <w:start w:val="1"/>
      <w:numFmt w:val="bullet"/>
      <w:lvlText w:val=""/>
      <w:lvlJc w:val="left"/>
      <w:pPr>
        <w:tabs>
          <w:tab w:val="num" w:pos="6261"/>
        </w:tabs>
        <w:ind w:left="6261" w:hanging="360"/>
      </w:pPr>
      <w:rPr>
        <w:rFonts w:ascii="Wingdings" w:hAnsi="Wingdings" w:hint="default"/>
      </w:rPr>
    </w:lvl>
  </w:abstractNum>
  <w:num w:numId="1" w16cid:durableId="1932815880">
    <w:abstractNumId w:val="0"/>
  </w:num>
  <w:num w:numId="2" w16cid:durableId="618798046">
    <w:abstractNumId w:val="5"/>
  </w:num>
  <w:num w:numId="3" w16cid:durableId="1947419622">
    <w:abstractNumId w:val="4"/>
  </w:num>
  <w:num w:numId="4" w16cid:durableId="1975285214">
    <w:abstractNumId w:val="1"/>
  </w:num>
  <w:num w:numId="5" w16cid:durableId="400563755">
    <w:abstractNumId w:val="7"/>
  </w:num>
  <w:num w:numId="6" w16cid:durableId="1191987876">
    <w:abstractNumId w:val="6"/>
  </w:num>
  <w:num w:numId="7" w16cid:durableId="516162285">
    <w:abstractNumId w:val="9"/>
  </w:num>
  <w:num w:numId="8" w16cid:durableId="1784762108">
    <w:abstractNumId w:val="2"/>
  </w:num>
  <w:num w:numId="9" w16cid:durableId="1597402978">
    <w:abstractNumId w:val="8"/>
  </w:num>
  <w:num w:numId="10" w16cid:durableId="781192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39"/>
    <w:rsid w:val="0000088D"/>
    <w:rsid w:val="000B5A87"/>
    <w:rsid w:val="000C2FE4"/>
    <w:rsid w:val="000D2BD4"/>
    <w:rsid w:val="001240F8"/>
    <w:rsid w:val="001369C0"/>
    <w:rsid w:val="0014624C"/>
    <w:rsid w:val="001B7A26"/>
    <w:rsid w:val="001C7BA8"/>
    <w:rsid w:val="001D506C"/>
    <w:rsid w:val="002039F3"/>
    <w:rsid w:val="002951AE"/>
    <w:rsid w:val="00297457"/>
    <w:rsid w:val="002D30FF"/>
    <w:rsid w:val="002E0C21"/>
    <w:rsid w:val="002E6384"/>
    <w:rsid w:val="002E67A3"/>
    <w:rsid w:val="003D5665"/>
    <w:rsid w:val="003E572E"/>
    <w:rsid w:val="003F2756"/>
    <w:rsid w:val="0040028F"/>
    <w:rsid w:val="004106F6"/>
    <w:rsid w:val="00426F39"/>
    <w:rsid w:val="00491729"/>
    <w:rsid w:val="0051737D"/>
    <w:rsid w:val="0054460C"/>
    <w:rsid w:val="0055243D"/>
    <w:rsid w:val="005660EC"/>
    <w:rsid w:val="0057755C"/>
    <w:rsid w:val="00602491"/>
    <w:rsid w:val="006358D7"/>
    <w:rsid w:val="00676C69"/>
    <w:rsid w:val="00687696"/>
    <w:rsid w:val="006B207F"/>
    <w:rsid w:val="00735360"/>
    <w:rsid w:val="00770590"/>
    <w:rsid w:val="00770B5B"/>
    <w:rsid w:val="00771A1E"/>
    <w:rsid w:val="007B5E01"/>
    <w:rsid w:val="007D029C"/>
    <w:rsid w:val="007F50DF"/>
    <w:rsid w:val="00807629"/>
    <w:rsid w:val="008E68B9"/>
    <w:rsid w:val="008F53C0"/>
    <w:rsid w:val="00905D40"/>
    <w:rsid w:val="00936A22"/>
    <w:rsid w:val="009960F1"/>
    <w:rsid w:val="00A157EB"/>
    <w:rsid w:val="00A32611"/>
    <w:rsid w:val="00B0320F"/>
    <w:rsid w:val="00B14A33"/>
    <w:rsid w:val="00B231EE"/>
    <w:rsid w:val="00B61F82"/>
    <w:rsid w:val="00B9044B"/>
    <w:rsid w:val="00B9594C"/>
    <w:rsid w:val="00C65540"/>
    <w:rsid w:val="00C77C3D"/>
    <w:rsid w:val="00CB1800"/>
    <w:rsid w:val="00CB4958"/>
    <w:rsid w:val="00CC7CBF"/>
    <w:rsid w:val="00CF0123"/>
    <w:rsid w:val="00D14F16"/>
    <w:rsid w:val="00D1748E"/>
    <w:rsid w:val="00D211BC"/>
    <w:rsid w:val="00D763B2"/>
    <w:rsid w:val="00D83C0F"/>
    <w:rsid w:val="00DA1915"/>
    <w:rsid w:val="00E214CE"/>
    <w:rsid w:val="00E965AF"/>
    <w:rsid w:val="00EA44DC"/>
    <w:rsid w:val="00F4226F"/>
    <w:rsid w:val="00F42E4A"/>
    <w:rsid w:val="00F719B2"/>
    <w:rsid w:val="00F77D6E"/>
    <w:rsid w:val="00F80218"/>
    <w:rsid w:val="00F94ED1"/>
    <w:rsid w:val="00FC73CE"/>
    <w:rsid w:val="00FD3146"/>
    <w:rsid w:val="00FD5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1FC8"/>
  <w15:chartTrackingRefBased/>
  <w15:docId w15:val="{5C2C2B21-A76A-4805-B56F-C4CCA3A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82"/>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F82"/>
    <w:rPr>
      <w:color w:val="0000FF"/>
      <w:u w:val="single"/>
    </w:rPr>
  </w:style>
  <w:style w:type="paragraph" w:styleId="ListParagraph">
    <w:name w:val="List Paragraph"/>
    <w:basedOn w:val="Normal"/>
    <w:uiPriority w:val="34"/>
    <w:qFormat/>
    <w:rsid w:val="00B61F82"/>
    <w:pPr>
      <w:ind w:left="720"/>
      <w:contextualSpacing/>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35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8D7"/>
    <w:rPr>
      <w:rFonts w:ascii="Segoe UI" w:hAnsi="Segoe UI" w:cs="Segoe UI"/>
      <w:sz w:val="18"/>
      <w:szCs w:val="18"/>
    </w:rPr>
  </w:style>
  <w:style w:type="character" w:styleId="FollowedHyperlink">
    <w:name w:val="FollowedHyperlink"/>
    <w:basedOn w:val="DefaultParagraphFont"/>
    <w:uiPriority w:val="99"/>
    <w:semiHidden/>
    <w:unhideWhenUsed/>
    <w:rsid w:val="00491729"/>
    <w:rPr>
      <w:color w:val="954F72" w:themeColor="followedHyperlink"/>
      <w:u w:val="single"/>
    </w:rPr>
  </w:style>
  <w:style w:type="character" w:styleId="Strong">
    <w:name w:val="Strong"/>
    <w:basedOn w:val="DefaultParagraphFont"/>
    <w:uiPriority w:val="22"/>
    <w:qFormat/>
    <w:rsid w:val="00C65540"/>
    <w:rPr>
      <w:b/>
      <w:bCs/>
    </w:rPr>
  </w:style>
  <w:style w:type="character" w:styleId="UnresolvedMention">
    <w:name w:val="Unresolved Mention"/>
    <w:basedOn w:val="DefaultParagraphFont"/>
    <w:uiPriority w:val="99"/>
    <w:semiHidden/>
    <w:unhideWhenUsed/>
    <w:rsid w:val="003E5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79630">
      <w:bodyDiv w:val="1"/>
      <w:marLeft w:val="0"/>
      <w:marRight w:val="0"/>
      <w:marTop w:val="0"/>
      <w:marBottom w:val="0"/>
      <w:divBdr>
        <w:top w:val="none" w:sz="0" w:space="0" w:color="auto"/>
        <w:left w:val="none" w:sz="0" w:space="0" w:color="auto"/>
        <w:bottom w:val="none" w:sz="0" w:space="0" w:color="auto"/>
        <w:right w:val="none" w:sz="0" w:space="0" w:color="auto"/>
      </w:divBdr>
    </w:div>
    <w:div w:id="849830104">
      <w:bodyDiv w:val="1"/>
      <w:marLeft w:val="0"/>
      <w:marRight w:val="0"/>
      <w:marTop w:val="0"/>
      <w:marBottom w:val="0"/>
      <w:divBdr>
        <w:top w:val="none" w:sz="0" w:space="0" w:color="auto"/>
        <w:left w:val="none" w:sz="0" w:space="0" w:color="auto"/>
        <w:bottom w:val="none" w:sz="0" w:space="0" w:color="auto"/>
        <w:right w:val="none" w:sz="0" w:space="0" w:color="auto"/>
      </w:divBdr>
    </w:div>
    <w:div w:id="961038940">
      <w:bodyDiv w:val="1"/>
      <w:marLeft w:val="0"/>
      <w:marRight w:val="0"/>
      <w:marTop w:val="0"/>
      <w:marBottom w:val="0"/>
      <w:divBdr>
        <w:top w:val="none" w:sz="0" w:space="0" w:color="auto"/>
        <w:left w:val="none" w:sz="0" w:space="0" w:color="auto"/>
        <w:bottom w:val="none" w:sz="0" w:space="0" w:color="auto"/>
        <w:right w:val="none" w:sz="0" w:space="0" w:color="auto"/>
      </w:divBdr>
      <w:divsChild>
        <w:div w:id="8916261">
          <w:marLeft w:val="850"/>
          <w:marRight w:val="0"/>
          <w:marTop w:val="0"/>
          <w:marBottom w:val="0"/>
          <w:divBdr>
            <w:top w:val="none" w:sz="0" w:space="0" w:color="auto"/>
            <w:left w:val="none" w:sz="0" w:space="0" w:color="auto"/>
            <w:bottom w:val="none" w:sz="0" w:space="0" w:color="auto"/>
            <w:right w:val="none" w:sz="0" w:space="0" w:color="auto"/>
          </w:divBdr>
        </w:div>
        <w:div w:id="820657511">
          <w:marLeft w:val="850"/>
          <w:marRight w:val="0"/>
          <w:marTop w:val="0"/>
          <w:marBottom w:val="0"/>
          <w:divBdr>
            <w:top w:val="none" w:sz="0" w:space="0" w:color="auto"/>
            <w:left w:val="none" w:sz="0" w:space="0" w:color="auto"/>
            <w:bottom w:val="none" w:sz="0" w:space="0" w:color="auto"/>
            <w:right w:val="none" w:sz="0" w:space="0" w:color="auto"/>
          </w:divBdr>
        </w:div>
      </w:divsChild>
    </w:div>
    <w:div w:id="966162324">
      <w:bodyDiv w:val="1"/>
      <w:marLeft w:val="0"/>
      <w:marRight w:val="0"/>
      <w:marTop w:val="0"/>
      <w:marBottom w:val="0"/>
      <w:divBdr>
        <w:top w:val="none" w:sz="0" w:space="0" w:color="auto"/>
        <w:left w:val="none" w:sz="0" w:space="0" w:color="auto"/>
        <w:bottom w:val="none" w:sz="0" w:space="0" w:color="auto"/>
        <w:right w:val="none" w:sz="0" w:space="0" w:color="auto"/>
      </w:divBdr>
    </w:div>
    <w:div w:id="15380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0b88cc-cfcc-4383-a464-7ecc0de3a5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B7F1B1D4FF94784AF4745AEDD901D" ma:contentTypeVersion="16" ma:contentTypeDescription="Create a new document." ma:contentTypeScope="" ma:versionID="9c6ddc5c4f0482c3058c4401b2daeb27">
  <xsd:schema xmlns:xsd="http://www.w3.org/2001/XMLSchema" xmlns:xs="http://www.w3.org/2001/XMLSchema" xmlns:p="http://schemas.microsoft.com/office/2006/metadata/properties" xmlns:ns3="170b88cc-cfcc-4383-a464-7ecc0de3a503" xmlns:ns4="d5943ba2-0074-4db0-9c00-0a6ac32a4290" targetNamespace="http://schemas.microsoft.com/office/2006/metadata/properties" ma:root="true" ma:fieldsID="d4fa93e751726d9d591b4841e369b71d" ns3:_="" ns4:_="">
    <xsd:import namespace="170b88cc-cfcc-4383-a464-7ecc0de3a503"/>
    <xsd:import namespace="d5943ba2-0074-4db0-9c00-0a6ac32a42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LengthInSeconds" minOccurs="0"/>
                <xsd:element ref="ns3:MediaServiceSystemTags" minOccurs="0"/>
                <xsd:element ref="ns3:MediaServiceGenerationTime" minOccurs="0"/>
                <xsd:element ref="ns3:MediaServiceEventHashCode"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b88cc-cfcc-4383-a464-7ecc0de3a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43ba2-0074-4db0-9c00-0a6ac32a42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BA370-D386-4984-A686-D40353E0C9F8}">
  <ds:schemaRefs>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d5943ba2-0074-4db0-9c00-0a6ac32a4290"/>
    <ds:schemaRef ds:uri="170b88cc-cfcc-4383-a464-7ecc0de3a503"/>
  </ds:schemaRefs>
</ds:datastoreItem>
</file>

<file path=customXml/itemProps2.xml><?xml version="1.0" encoding="utf-8"?>
<ds:datastoreItem xmlns:ds="http://schemas.openxmlformats.org/officeDocument/2006/customXml" ds:itemID="{0E370131-F82D-4466-AEFC-2C33A8D2A62E}">
  <ds:schemaRefs>
    <ds:schemaRef ds:uri="http://schemas.microsoft.com/sharepoint/v3/contenttype/forms"/>
  </ds:schemaRefs>
</ds:datastoreItem>
</file>

<file path=customXml/itemProps3.xml><?xml version="1.0" encoding="utf-8"?>
<ds:datastoreItem xmlns:ds="http://schemas.openxmlformats.org/officeDocument/2006/customXml" ds:itemID="{AF2845DB-2AFC-4749-9A13-372D5C3BC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b88cc-cfcc-4383-a464-7ecc0de3a503"/>
    <ds:schemaRef ds:uri="d5943ba2-0074-4db0-9c00-0a6ac32a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4312</Words>
  <Characters>2459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Grigaliūnaitė</dc:creator>
  <cp:keywords/>
  <dc:description/>
  <cp:lastModifiedBy>Ilma Grigaliūnaitė</cp:lastModifiedBy>
  <cp:revision>3</cp:revision>
  <dcterms:created xsi:type="dcterms:W3CDTF">2026-05-05T08:52:00Z</dcterms:created>
  <dcterms:modified xsi:type="dcterms:W3CDTF">2026-05-05T10:30:00Z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0x010100EEBB7F1B1D4FF94784AF4745AEDD901D</vt:lpwstr>
  </property>
</Properties>
</file>